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>
        <w:b w:val="1"/>
        <w:color w:val="666666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440"/>
      <w:gridCol w:w="6120"/>
      <w:gridCol w:w="1800"/>
      <w:tblGridChange w:id="0">
        <w:tblGrid>
          <w:gridCol w:w="1440"/>
          <w:gridCol w:w="6120"/>
          <w:gridCol w:w="1800"/>
        </w:tblGrid>
      </w:tblGridChange>
    </w:tblGrid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4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TO: 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Chair Eric Bazail-Eimil and Vice Chair Dai of the Finance and Appropriations Committee of the 14th GUSA Senate</w:t>
          </w:r>
        </w:p>
      </w:tc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6">
          <w:pPr>
            <w:widowControl w:val="0"/>
            <w:spacing w:line="240" w:lineRule="auto"/>
            <w:jc w:val="center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b w:val="1"/>
              <w:color w:val="666666"/>
              <w:sz w:val="22"/>
              <w:szCs w:val="22"/>
            </w:rPr>
            <w:drawing>
              <wp:inline distB="114300" distT="114300" distL="114300" distR="114300">
                <wp:extent cx="933680" cy="9382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>
                          <a:alphaModFix amt="65000"/>
                        </a:blip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680" cy="938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7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FROM: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Senator [NAME], Committee Liaison to [Coverage Entity]</w:t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A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DATE: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06/22/2020</w:t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D">
          <w:pPr>
            <w:widowControl w:val="0"/>
            <w:spacing w:line="240" w:lineRule="auto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SUBJECT: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434343"/>
              <w:sz w:val="22"/>
              <w:szCs w:val="22"/>
            </w:rPr>
          </w:pPr>
          <w:r w:rsidDel="00000000" w:rsidR="00000000" w:rsidRPr="00000000">
            <w:rPr>
              <w:b w:val="1"/>
              <w:color w:val="434343"/>
              <w:sz w:val="22"/>
              <w:szCs w:val="22"/>
              <w:rtl w:val="0"/>
            </w:rPr>
            <w:t xml:space="preserve">Findings from [Coverage Entity] Historical Review</w:t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color w:val="666666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0">
    <w:pPr>
      <w:rPr>
        <w:b w:val="1"/>
        <w:color w:val="666666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