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40"/>
      <w:gridCol w:w="6120"/>
      <w:gridCol w:w="1800"/>
      <w:tblGridChange w:id="0">
        <w:tblGrid>
          <w:gridCol w:w="1440"/>
          <w:gridCol w:w="6120"/>
          <w:gridCol w:w="1800"/>
        </w:tblGrid>
      </w:tblGridChange>
    </w:tblGrid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4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TO: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Chair Eric Bazail-Eimil and Vice Chair Dai of the Finance and Appropriations Committee of the 14th GUSA Senate</w:t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6">
          <w:pPr>
            <w:widowControl w:val="0"/>
            <w:spacing w:line="240" w:lineRule="auto"/>
            <w:jc w:val="center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b w:val="1"/>
              <w:color w:val="666666"/>
              <w:sz w:val="22"/>
              <w:szCs w:val="22"/>
            </w:rPr>
            <w:drawing>
              <wp:inline distB="114300" distT="114300" distL="114300" distR="114300">
                <wp:extent cx="933680" cy="938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alphaModFix amt="65000"/>
                        </a:blip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680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FROM: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Senator [NAME], Committee Liaison to [Coverage Entity]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A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DATE: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06/22/2020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SUBJECT: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Findings from [Coverage Entity] Historical Review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