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line="560" w:lineRule="exact"/>
      </w:pPr>
      <w:r>
        <w:rPr>
          <w:rFonts w:ascii="Times New Roman" w:cs="Times New Roman" w:eastAsia="Microsoft YaHei" w:hAnsi="Times New Roman"/>
          <w:b/>
          <w:bCs/>
          <w:sz w:val="46"/>
          <w:szCs w:val="46"/>
        </w:rPr>
        <w:t xml:space="preserve">邹志华</w:t>
      </w:r>
    </w:p>
    <w:p>
      <w:pPr>
        <w:spacing w:line="262" w:lineRule="exact"/>
      </w:pPr>
      <w:r>
        <w:drawing>
          <wp:inline distT="0" distB="0" distL="0" distR="0">
            <wp:extent cx="104775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</w:rPr>
        <w:t xml:space="preserve">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求职意向：前线部署工程师（FDE）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 |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AI 解决方案与交付</w:t>
      </w:r>
    </w:p>
    <w:p>
      <w:pPr>
        <w:spacing w:line="262" w:lineRule="exac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</w:rPr>
        <w:t xml:space="preserve"> 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+86 137-1509-9333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 |  </w:t>
      </w: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</w:rPr>
        <w:t xml:space="preserve"> 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zouzhihuajosh@outlook.com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 |  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LinkedIn: linkedin.com/in/zouzhihuajosh</w:t>
      </w:r>
    </w:p>
    <w:p>
      <w:pPr>
        <w:spacing w:line="262" w:lineRule="exac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</w:rPr>
        <w:t xml:space="preserve"> </w:t>
      </w:r>
      <w:hyperlink w:history="1" r:id="rIdk3brzoklcfpx_tjhepwgb">
        <w:r>
          <w:rPr>
            <w:rFonts w:ascii="Times New Roman" w:cs="Times New Roman" w:eastAsia="Microsoft YaHei" w:hAnsi="Times New Roman"/>
            <w:b/>
            <w:bCs/>
            <w:i w:val="false"/>
            <w:iCs w:val="false"/>
            <w:color w:val="151515"/>
            <w:sz w:val="19"/>
            <w:szCs w:val="19"/>
          </w:rPr>
          <w:t xml:space="preserve">github.com/joshuazou-web</w:t>
        </w:r>
      </w:hyperlink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（项目代码、评测结果与产品报告见仓库及 /evidence）</w:t>
      </w:r>
    </w:p>
    <w:p>
      <w:pPr>
        <w:spacing w:line="262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个人定位：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覆盖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“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客户沟通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→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痛点诊断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→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方案设计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→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原型开发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→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迭代交付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”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全链路，把模糊需求做成能上线的方案。</w:t>
      </w:r>
    </w:p>
    <w:p>
      <w:pPr>
        <w:pBdr>
          <w:bottom w:val="single" w:color="2458B8" w:sz="12" w:space="1"/>
        </w:pBdr>
        <w:spacing w:after="40" w:before="40" w:line="340" w:lineRule="exact"/>
      </w:pPr>
      <w:r>
        <w:rPr>
          <w:rFonts w:ascii="Arial" w:eastAsia="Microsoft YaHei" w:hAnsi="Arial"/>
          <w:b/>
          <w:bCs/>
          <w:color w:val="2458B8"/>
          <w:sz w:val="29"/>
          <w:szCs w:val="29"/>
        </w:rPr>
        <w:t xml:space="preserve">教育经历</w:t>
      </w:r>
    </w:p>
    <w:p>
      <w:pPr>
        <w:tabs>
          <w:tab w:val="right" w:pos="10772"/>
        </w:tabs>
        <w:spacing w:line="262" w:lineRule="exact"/>
      </w:pPr>
      <w:r>
        <w:drawing>
          <wp:inline distT="0" distB="0" distL="0" distR="0">
            <wp:extent cx="104775" cy="13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Microsoft YaHei" w:hAnsi="Times New Roman"/>
          <w:b/>
          <w:bCs/>
          <w:sz w:val="19"/>
          <w:szCs w:val="19"/>
        </w:rPr>
        <w:t xml:space="preserve"> National University of Singapore (NUS)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  School of Computing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·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MSc in Digital Financial Technology</w:t>
      </w:r>
      <w:r>
        <w:rPr>
          <w:rFonts w:ascii="Times New Roman" w:cs="Times New Roman" w:eastAsia="Microsoft YaHei" w:hAnsi="Times New Roman"/>
          <w:b/>
          <w:bCs/>
          <w:sz w:val="19"/>
          <w:szCs w:val="19"/>
        </w:rPr>
        <w:t xml:space="preserve">	2025.08 – 2027.01</w:t>
      </w:r>
    </w:p>
    <w:p>
      <w:pPr>
        <w:tabs>
          <w:tab w:val="right" w:pos="10772"/>
        </w:tabs>
        <w:spacing w:line="262" w:lineRule="exact"/>
      </w:pPr>
      <w:r>
        <w:drawing>
          <wp:inline distT="0" distB="0" distL="0" distR="0">
            <wp:extent cx="133350" cy="13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Microsoft YaHei" w:hAnsi="Times New Roman"/>
          <w:b/>
          <w:bCs/>
          <w:sz w:val="19"/>
          <w:szCs w:val="19"/>
        </w:rPr>
        <w:t xml:space="preserve"> Macau University of Science and Technology (MUST)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  School of Business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·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Bachelor of Applied Economics</w:t>
      </w:r>
      <w:r>
        <w:rPr>
          <w:rFonts w:ascii="Times New Roman" w:cs="Times New Roman" w:eastAsia="Microsoft YaHei" w:hAnsi="Times New Roman"/>
          <w:b/>
          <w:bCs/>
          <w:sz w:val="19"/>
          <w:szCs w:val="19"/>
        </w:rPr>
        <w:t xml:space="preserve">	2021.09 – 2025.06</w:t>
      </w:r>
    </w:p>
    <w:p>
      <w:pPr>
        <w:tabs>
          <w:tab w:val="right" w:pos="10772"/>
        </w:tabs>
        <w:spacing w:line="262" w:lineRule="exact"/>
      </w:pPr>
      <w:r>
        <w:drawing>
          <wp:inline distT="0" distB="0" distL="0" distR="0">
            <wp:extent cx="114300" cy="13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Microsoft YaHei" w:hAnsi="Times New Roman"/>
          <w:b/>
          <w:bCs/>
          <w:sz w:val="19"/>
          <w:szCs w:val="19"/>
        </w:rPr>
        <w:t xml:space="preserve"> University of Cambridge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  Digital Transformation Research (Distinction)</w:t>
      </w:r>
    </w:p>
    <w:p>
      <w:pPr>
        <w:tabs>
          <w:tab w:val="right" w:pos="10772"/>
        </w:tabs>
        <w:spacing w:line="262" w:lineRule="exact"/>
      </w:pPr>
      <w:r>
        <w:drawing>
          <wp:inline distT="0" distB="0" distL="0" distR="0">
            <wp:extent cx="13335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Microsoft YaHei" w:hAnsi="Times New Roman"/>
          <w:b/>
          <w:bCs/>
          <w:sz w:val="19"/>
          <w:szCs w:val="19"/>
        </w:rPr>
        <w:t xml:space="preserve"> Columbia University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  Entrepreneurial Finance PBL</w:t>
      </w:r>
    </w:p>
    <w:p>
      <w:pPr>
        <w:pBdr>
          <w:bottom w:val="single" w:color="2458B8" w:sz="12" w:space="1"/>
        </w:pBdr>
        <w:spacing w:after="40" w:before="40" w:line="340" w:lineRule="exact"/>
      </w:pPr>
      <w:r>
        <w:rPr>
          <w:rFonts w:ascii="Arial" w:eastAsia="Microsoft YaHei" w:hAnsi="Arial"/>
          <w:b/>
          <w:bCs/>
          <w:color w:val="2458B8"/>
          <w:sz w:val="29"/>
          <w:szCs w:val="29"/>
        </w:rPr>
        <w:t xml:space="preserve">实习经历</w:t>
      </w:r>
    </w:p>
    <w:p>
      <w:pPr>
        <w:shd w:fill="F2F3F5" w:color="auto" w:val="clear"/>
        <w:tabs>
          <w:tab w:val="right" w:pos="10652"/>
        </w:tabs>
        <w:spacing w:after="10" w:before="50" w:line="320" w:lineRule="exact"/>
        <w:ind w:left="60" w:right="60"/>
      </w:pPr>
      <w:r>
        <w:drawing>
          <wp:inline distT="0" distB="0" distL="0" distR="0">
            <wp:extent cx="142875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Huatai International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·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FinTech Product Intern</w:t>
      </w:r>
      <w:r>
        <w:rPr>
          <w:sz w:val="20"/>
          <w:szCs w:val="20"/>
        </w:rPr>
        <w:t xml:space="preserve">	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2024.07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–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 2024.11</w:t>
      </w:r>
    </w:p>
    <w:p>
      <w:pPr>
        <w:spacing w:before="20" w:line="252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跨境业务规则落地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 |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业务访谈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需求拆解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联调验收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Bad Case 闭环</w:t>
      </w:r>
    </w:p>
    <w:p>
      <w:pPr>
        <w:pStyle w:val="ListParagraph"/>
        <w:numPr>
          <w:ilvl w:val="0"/>
          <w:numId w:val="2"/>
        </w:numPr>
        <w:spacing w:line="240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背景与目标：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跨境规则复杂、异常处置无统一流程、各市场口径不一，需求反复；目标是把专家经验变成可验收的规则。</w:t>
      </w:r>
    </w:p>
    <w:p>
      <w:pPr>
        <w:pStyle w:val="ListParagraph"/>
        <w:numPr>
          <w:ilvl w:val="0"/>
          <w:numId w:val="2"/>
        </w:numPr>
        <w:spacing w:line="240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我的职责：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访谈业务、合规、研发三方，把规则拆成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合约逻辑、API、对账、分账、异常处置 5 类需求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，写清流程、规则边界与验收口径，跟进评审与联调。</w:t>
      </w:r>
    </w:p>
    <w:p>
      <w:pPr>
        <w:pStyle w:val="ListParagraph"/>
        <w:numPr>
          <w:ilvl w:val="0"/>
          <w:numId w:val="2"/>
        </w:numPr>
        <w:spacing w:line="240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交付与结果：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建立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Bad Case 分类与归因机制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并按根因回流需求；评估 AI 风控方案，给出自研/外采与分阶段落地建议。</w:t>
      </w:r>
    </w:p>
    <w:p>
      <w:pPr>
        <w:shd w:fill="F2F3F5" w:color="auto" w:val="clear"/>
        <w:tabs>
          <w:tab w:val="right" w:pos="10652"/>
        </w:tabs>
        <w:spacing w:after="10" w:before="50" w:line="320" w:lineRule="exact"/>
        <w:ind w:left="60" w:right="60"/>
      </w:pPr>
      <w:r>
        <w:drawing>
          <wp:inline distT="0" distB="0" distL="0" distR="0">
            <wp:extent cx="142875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Sequoia Capital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·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AI Investment Research Intern</w:t>
      </w:r>
      <w:r>
        <w:rPr>
          <w:sz w:val="20"/>
          <w:szCs w:val="20"/>
        </w:rPr>
        <w:t xml:space="preserve">	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2024.01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–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 2024.05</w:t>
      </w:r>
    </w:p>
    <w:p>
      <w:pPr>
        <w:spacing w:before="20" w:line="252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AI 应用落地评估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 |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客户场景拆解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交付与定价验证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证据核验流程</w:t>
      </w:r>
    </w:p>
    <w:p>
      <w:pPr>
        <w:pStyle w:val="ListParagraph"/>
        <w:numPr>
          <w:ilvl w:val="0"/>
          <w:numId w:val="2"/>
        </w:numPr>
        <w:spacing w:line="240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背景与职责：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AI 应用同质化、难判断能否在客户侧落地，我用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“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现有解法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—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AI 增量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—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可定价性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”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拆解场景，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每周更新赛道地图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，按交付方式与定价建竞品矩阵，用续费信号交叉验证。</w:t>
      </w:r>
    </w:p>
    <w:p>
      <w:pPr>
        <w:pStyle w:val="ListParagraph"/>
        <w:numPr>
          <w:ilvl w:val="0"/>
          <w:numId w:val="2"/>
        </w:numPr>
        <w:spacing w:line="240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交付与结果：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把核验流程做成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“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RAG 签前校验 + 签后 Badcase 治理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”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闭环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，计算交给确定性代码、越界拒答压低幻觉。</w:t>
      </w:r>
    </w:p>
    <w:p>
      <w:pPr>
        <w:shd w:fill="F2F3F5" w:color="auto" w:val="clear"/>
        <w:tabs>
          <w:tab w:val="right" w:pos="10652"/>
        </w:tabs>
        <w:spacing w:after="10" w:before="50" w:line="320" w:lineRule="exact"/>
        <w:ind w:left="60" w:right="60"/>
      </w:pPr>
      <w:r>
        <w:drawing>
          <wp:inline distT="0" distB="0" distL="0" distR="0">
            <wp:extent cx="152400" cy="9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MiraclePlus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·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Campus Scout, AI Startups</w:t>
      </w:r>
      <w:r>
        <w:rPr>
          <w:sz w:val="20"/>
          <w:szCs w:val="20"/>
        </w:rPr>
        <w:t xml:space="preserve">	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2023.03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–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 2023.08</w:t>
      </w:r>
    </w:p>
    <w:p>
      <w:pPr>
        <w:spacing w:before="20" w:line="252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早期 AI 项目需求验证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 |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一线访谈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两层筛选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人机协作打分</w:t>
      </w:r>
    </w:p>
    <w:p>
      <w:pPr>
        <w:pStyle w:val="ListParagraph"/>
        <w:numPr>
          <w:ilvl w:val="0"/>
          <w:numId w:val="2"/>
        </w:numPr>
        <w:spacing w:line="240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我的职责：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访谈约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540 位创业者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，按场景真实性、付费强度、AI 必要性、数据壁垒与团队能力两层筛选，判断回链访谈原话。</w:t>
      </w:r>
    </w:p>
    <w:p>
      <w:pPr>
        <w:pStyle w:val="ListParagraph"/>
        <w:numPr>
          <w:ilvl w:val="0"/>
          <w:numId w:val="2"/>
        </w:numPr>
        <w:spacing w:line="240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交付与结果：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推荐 20 个团队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；用 LLM 抽取访谈证据、结构化打分，系统只建议、人工拍板，后沉淀为工具 Scout Screener。</w:t>
      </w:r>
    </w:p>
    <w:p>
      <w:pPr>
        <w:shd w:fill="F2F3F5" w:color="auto" w:val="clear"/>
        <w:tabs>
          <w:tab w:val="right" w:pos="10652"/>
        </w:tabs>
        <w:spacing w:after="10" w:before="50" w:line="320" w:lineRule="exact"/>
        <w:ind w:left="60" w:right="60"/>
      </w:pPr>
      <w:r>
        <w:drawing>
          <wp:inline distT="0" distB="0" distL="0" distR="0">
            <wp:extent cx="152400" cy="13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China Guangfa Bank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·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Financial Product Intern</w:t>
      </w:r>
      <w:r>
        <w:rPr>
          <w:sz w:val="20"/>
          <w:szCs w:val="20"/>
        </w:rPr>
        <w:t xml:space="preserve">	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2022.06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–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 2022.08</w:t>
      </w:r>
    </w:p>
    <w:p>
      <w:pPr>
        <w:spacing w:before="20" w:line="252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线上渠道体验诊断与评分服务原型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 |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旅程断点诊断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改进排序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Python API 原型</w:t>
      </w:r>
    </w:p>
    <w:p>
      <w:pPr>
        <w:pStyle w:val="ListParagraph"/>
        <w:numPr>
          <w:ilvl w:val="0"/>
          <w:numId w:val="2"/>
        </w:numPr>
        <w:spacing w:line="240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我的职责：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梳理开户、存款与理财代销全流程，对比柜面/线上旅程定位断点，确定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“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材料前置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”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等 3 项优先改进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；自建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Python 评分服务与 API 原型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，拆开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“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算分/写分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”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权限：评分逻辑可换成模型，写入仍由规则把关。</w:t>
      </w:r>
    </w:p>
    <w:p>
      <w:pPr>
        <w:pBdr>
          <w:bottom w:val="single" w:color="2458B8" w:sz="12" w:space="1"/>
        </w:pBdr>
        <w:spacing w:after="40" w:before="40" w:line="340" w:lineRule="exact"/>
      </w:pPr>
      <w:r>
        <w:rPr>
          <w:rFonts w:ascii="Arial" w:eastAsia="Microsoft YaHei" w:hAnsi="Arial"/>
          <w:b/>
          <w:bCs/>
          <w:color w:val="2458B8"/>
          <w:sz w:val="29"/>
          <w:szCs w:val="29"/>
        </w:rPr>
        <w:t xml:space="preserve">AI Startup &amp; Field Projects</w:t>
      </w:r>
    </w:p>
    <w:p>
      <w:pPr>
        <w:shd w:fill="F2F3F5" w:color="auto" w:val="clear"/>
        <w:tabs>
          <w:tab w:val="right" w:pos="10652"/>
        </w:tabs>
        <w:spacing w:after="10" w:before="50" w:line="320" w:lineRule="exact"/>
        <w:ind w:left="60" w:right="60"/>
      </w:pPr>
      <w:r>
        <w:drawing>
          <wp:inline distT="0" distB="0" distL="0" distR="0">
            <wp:extent cx="152400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Chaoshan Deli Chain (Guangxi)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20"/>
          <w:szCs w:val="20"/>
        </w:rPr>
        <w:t xml:space="preserve">·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 线下门店 0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1 落地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·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Project Lead</w:t>
      </w:r>
      <w:r>
        <w:rPr>
          <w:sz w:val="20"/>
          <w:szCs w:val="20"/>
        </w:rPr>
        <w:t xml:space="preserve">	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2026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–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 至今</w:t>
      </w:r>
    </w:p>
    <w:p>
      <w:pPr>
        <w:spacing w:before="20" w:line="252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社区直营小店落地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 |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远程勘测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方案设计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采购施工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试营业数据复盘</w:t>
      </w:r>
    </w:p>
    <w:p>
      <w:pPr>
        <w:pStyle w:val="ListParagraph"/>
        <w:numPr>
          <w:ilvl w:val="0"/>
          <w:numId w:val="2"/>
        </w:numPr>
        <w:spacing w:line="240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现场诊断与方案：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远程看现场视频、复尺定动线；开工前设许可、排风、电力、给排水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4 道核验门槛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，导视按反馈迭代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6 版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。</w:t>
      </w:r>
    </w:p>
    <w:p>
      <w:pPr>
        <w:pStyle w:val="ListParagraph"/>
        <w:numPr>
          <w:ilvl w:val="0"/>
          <w:numId w:val="2"/>
        </w:numPr>
        <w:spacing w:line="240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落地与运营：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制定三家同规格比价与施工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—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联调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—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热态测试计划；设计门店日报口径（SKU 销量、成本、报损、现金差异）。</w:t>
      </w:r>
    </w:p>
    <w:p>
      <w:pPr>
        <w:shd w:fill="F2F3F5" w:color="auto" w:val="clear"/>
        <w:tabs>
          <w:tab w:val="right" w:pos="10652"/>
        </w:tabs>
        <w:spacing w:after="10" w:before="50" w:line="320" w:lineRule="exact"/>
        <w:ind w:left="60" w:right="60"/>
      </w:pPr>
      <w:r>
        <w:drawing>
          <wp:inline distT="0" distB="0" distL="0" distR="0">
            <wp:extent cx="152400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ThinkBeforeClick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20"/>
          <w:szCs w:val="20"/>
        </w:rPr>
        <w:t xml:space="preserve">·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 AI 反诈 SaaS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·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AI Product Lead</w:t>
      </w:r>
      <w:r>
        <w:rPr>
          <w:sz w:val="20"/>
          <w:szCs w:val="20"/>
        </w:rPr>
        <w:t xml:space="preserve">	</w:t>
      </w:r>
      <w:hyperlink w:history="1" r:id="rId4v7f1kput42wjyjdc-sl-">
        <w:r>
          <w:rPr>
            <w:rFonts w:ascii="Times New Roman" w:cs="Times New Roman" w:eastAsia="Microsoft YaHei" w:hAnsi="Times New Roman"/>
            <w:b/>
            <w:bCs/>
            <w:i w:val="false"/>
            <w:iCs w:val="false"/>
            <w:color w:val="2458B8"/>
            <w:sz w:val="19"/>
            <w:szCs w:val="19"/>
          </w:rPr>
          <w:t xml:space="preserve">Report </w:t>
        </w:r>
        <w:r>
          <w:rPr>
            <w:rFonts w:ascii="Segoe UI Symbol" w:cs="Segoe UI Symbol" w:eastAsia="Segoe UI Symbol" w:hAnsi="Segoe UI Symbol"/>
            <w:b/>
            <w:bCs/>
            <w:i w:val="false"/>
            <w:iCs w:val="false"/>
            <w:color w:val="2458B8"/>
            <w:sz w:val="19"/>
            <w:szCs w:val="19"/>
          </w:rPr>
          <w:t xml:space="preserve">↗</w:t>
        </w:r>
        <w:r>
          <w:rPr>
            <w:rFonts w:ascii="Times New Roman" w:cs="Times New Roman" w:eastAsia="Microsoft YaHei" w:hAnsi="Times New Roman"/>
            <w:b/>
            <w:bCs/>
            <w:i w:val="false"/>
            <w:iCs w:val="false"/>
            <w:color w:val="2458B8"/>
            <w:sz w:val="19"/>
            <w:szCs w:val="19"/>
          </w:rPr>
          <w:t xml:space="preserve">   </w:t>
        </w:r>
      </w:hyperlink>
      <w:hyperlink w:history="1" r:id="rId2gd3suyiizlupv0pfwg1k">
        <w:r>
          <w:rPr>
            <w:rFonts w:ascii="Times New Roman" w:cs="Times New Roman" w:eastAsia="Microsoft YaHei" w:hAnsi="Times New Roman"/>
            <w:b/>
            <w:bCs/>
            <w:i w:val="false"/>
            <w:iCs w:val="false"/>
            <w:color w:val="2458B8"/>
            <w:sz w:val="19"/>
            <w:szCs w:val="19"/>
          </w:rPr>
          <w:t xml:space="preserve">GitHub </w:t>
        </w:r>
        <w:r>
          <w:rPr>
            <w:rFonts w:ascii="Segoe UI Symbol" w:cs="Segoe UI Symbol" w:eastAsia="Segoe UI Symbol" w:hAnsi="Segoe UI Symbol"/>
            <w:b/>
            <w:bCs/>
            <w:i w:val="false"/>
            <w:iCs w:val="false"/>
            <w:color w:val="2458B8"/>
            <w:sz w:val="19"/>
            <w:szCs w:val="19"/>
          </w:rPr>
          <w:t xml:space="preserve">↗</w:t>
        </w:r>
        <w:r>
          <w:rPr>
            <w:rFonts w:ascii="Times New Roman" w:cs="Times New Roman" w:eastAsia="Microsoft YaHei" w:hAnsi="Times New Roman"/>
            <w:b/>
            <w:bCs/>
            <w:i w:val="false"/>
            <w:iCs w:val="false"/>
            <w:color w:val="2458B8"/>
            <w:sz w:val="19"/>
            <w:szCs w:val="19"/>
          </w:rPr>
          <w:t xml:space="preserve">   </w:t>
        </w:r>
      </w:hyperlink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2025.08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–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 至今</w:t>
      </w:r>
    </w:p>
    <w:p>
      <w:pPr>
        <w:spacing w:before="20" w:line="252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从企业痛点到上线交付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 |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需求诊断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Serverless 部署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用户验证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迭代</w:t>
      </w:r>
    </w:p>
    <w:p>
      <w:pPr>
        <w:pStyle w:val="ListParagraph"/>
        <w:numPr>
          <w:ilvl w:val="0"/>
          <w:numId w:val="2"/>
        </w:numPr>
        <w:spacing w:line="240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背景与方案：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安全团队反馈演练模板过时、缺脆弱度指标；带 5 人团队设计 Freemium 与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“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打开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→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点击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→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提交凭证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→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上报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”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漏斗。</w:t>
      </w:r>
    </w:p>
    <w:p>
      <w:pPr>
        <w:pStyle w:val="ListParagraph"/>
        <w:numPr>
          <w:ilvl w:val="0"/>
          <w:numId w:val="2"/>
        </w:numPr>
        <w:spacing w:line="240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部署交付：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主导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AWS Serverless 架构与上线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（Cognito、API Gateway、Lambda、DynamoDB、SES、CloudFront，自有域名 HTTPS），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3 年 TCO 比本地部署低 45%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；6 周监控核心接口均值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239 ms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、223 次调用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成功率 100%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。</w:t>
      </w:r>
    </w:p>
    <w:p>
      <w:pPr>
        <w:pStyle w:val="ListParagraph"/>
        <w:numPr>
          <w:ilvl w:val="0"/>
          <w:numId w:val="2"/>
        </w:numPr>
        <w:spacing w:line="240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验证与迭代：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23 人测试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（含 8 位企业负责人），满意度 4.2/5、4.5/5，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82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–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87% 愿推荐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，反馈收敛为 6 项迭代；获 STePS 提名。</w:t>
      </w:r>
    </w:p>
    <w:p>
      <w:pPr>
        <w:shd w:fill="F2F3F5" w:color="auto" w:val="clear"/>
        <w:tabs>
          <w:tab w:val="right" w:pos="10652"/>
        </w:tabs>
        <w:spacing w:after="10" w:before="50" w:line="320" w:lineRule="exact"/>
        <w:ind w:left="60" w:right="60"/>
      </w:pPr>
      <w:r>
        <w:drawing>
          <wp:inline distT="0" distB="0" distL="0" distR="0">
            <wp:extent cx="152400" cy="13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AI Star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20"/>
          <w:szCs w:val="20"/>
        </w:rPr>
        <w:t xml:space="preserve">·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 AI Garment Automation Startup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·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Product Commercialization Lead</w:t>
      </w:r>
      <w:r>
        <w:rPr>
          <w:sz w:val="20"/>
          <w:szCs w:val="20"/>
        </w:rPr>
        <w:t xml:space="preserve">	</w:t>
      </w:r>
      <w:hyperlink w:history="1" r:id="rIdoutkcddgers6ue78nfydu">
        <w:r>
          <w:rPr>
            <w:rFonts w:ascii="Times New Roman" w:cs="Times New Roman" w:eastAsia="Microsoft YaHei" w:hAnsi="Times New Roman"/>
            <w:b/>
            <w:bCs/>
            <w:i w:val="false"/>
            <w:iCs w:val="false"/>
            <w:color w:val="2458B8"/>
            <w:sz w:val="19"/>
            <w:szCs w:val="19"/>
          </w:rPr>
          <w:t xml:space="preserve">Product Catalogue </w:t>
        </w:r>
        <w:r>
          <w:rPr>
            <w:rFonts w:ascii="Segoe UI Symbol" w:cs="Segoe UI Symbol" w:eastAsia="Segoe UI Symbol" w:hAnsi="Segoe UI Symbol"/>
            <w:b/>
            <w:bCs/>
            <w:i w:val="false"/>
            <w:iCs w:val="false"/>
            <w:color w:val="2458B8"/>
            <w:sz w:val="19"/>
            <w:szCs w:val="19"/>
          </w:rPr>
          <w:t xml:space="preserve">↗</w:t>
        </w:r>
        <w:r>
          <w:rPr>
            <w:rFonts w:ascii="Times New Roman" w:cs="Times New Roman" w:eastAsia="Microsoft YaHei" w:hAnsi="Times New Roman"/>
            <w:b/>
            <w:bCs/>
            <w:i w:val="false"/>
            <w:iCs w:val="false"/>
            <w:color w:val="2458B8"/>
            <w:sz w:val="19"/>
            <w:szCs w:val="19"/>
          </w:rPr>
          <w:t xml:space="preserve">   </w:t>
        </w:r>
      </w:hyperlink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2022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–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 2024</w:t>
      </w:r>
    </w:p>
    <w:p>
      <w:pPr>
        <w:pStyle w:val="ListParagraph"/>
        <w:numPr>
          <w:ilvl w:val="0"/>
          <w:numId w:val="2"/>
        </w:numPr>
        <w:spacing w:line="240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工厂现场：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走访工厂拆解人工成本，建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“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问题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—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 功能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—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 成本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—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 定价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—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 回本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”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模型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，推进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27 款设备定价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，客户含安踏、李宁。</w:t>
      </w:r>
    </w:p>
    <w:p>
      <w:pPr>
        <w:shd w:fill="F2F3F5" w:color="auto" w:val="clear"/>
        <w:tabs>
          <w:tab w:val="right" w:pos="10652"/>
        </w:tabs>
        <w:spacing w:after="10" w:before="50" w:line="320" w:lineRule="exact"/>
        <w:ind w:left="60" w:right="60"/>
      </w:pPr>
      <w:r>
        <w:drawing>
          <wp:inline distT="0" distB="0" distL="0" distR="0">
            <wp:extent cx="152400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Hengqin Industrial Asset Revitalization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·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Solution Lead</w:t>
      </w:r>
      <w:r>
        <w:rPr>
          <w:sz w:val="20"/>
          <w:szCs w:val="20"/>
        </w:rPr>
        <w:t xml:space="preserve">	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2021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–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 至今</w:t>
      </w:r>
    </w:p>
    <w:p>
      <w:pPr>
        <w:spacing w:before="20" w:line="252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产业资产盘活方案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 |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需求澄清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证据建模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路径比选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推进落地</w:t>
      </w:r>
    </w:p>
    <w:p>
      <w:pPr>
        <w:pStyle w:val="ListParagraph"/>
        <w:numPr>
          <w:ilvl w:val="0"/>
          <w:numId w:val="2"/>
        </w:numPr>
        <w:spacing w:line="240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背景与目标：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约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26,500㎡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产业厂房年租金约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700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–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800 万元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，但权属材料分散、历史出资与签约主体不一致，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“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继续运营还是出售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”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长期悬而未决；目标是形成可执行的盘活方案。</w:t>
      </w:r>
    </w:p>
    <w:p>
      <w:pPr>
        <w:pStyle w:val="ListParagraph"/>
        <w:numPr>
          <w:ilvl w:val="0"/>
          <w:numId w:val="2"/>
        </w:numPr>
        <w:spacing w:line="240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我的职责：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对接合作方、村集体、租户及律师/会计师，梳理运营与决策流程、绘制相关方关系图；整合合作建房协议、出资流水与工程付款，建立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证据台账与缺口清单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。</w:t>
      </w:r>
    </w:p>
    <w:p>
      <w:pPr>
        <w:pStyle w:val="ListParagraph"/>
        <w:numPr>
          <w:ilvl w:val="0"/>
          <w:numId w:val="2"/>
        </w:numPr>
        <w:spacing w:line="240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交付与结果：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搭建持有运营、主体重组、整体出售三条路径的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决策模型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（现金流、风险、周期），把法律与财务意见拆成 30/60/90 天任务路线，推动项目从停滞进入材料补全与交易准备。</w:t>
      </w:r>
    </w:p>
    <w:p>
      <w:pPr>
        <w:pBdr>
          <w:bottom w:val="single" w:color="2458B8" w:sz="12" w:space="1"/>
        </w:pBdr>
        <w:spacing w:after="40" w:before="40" w:line="340" w:lineRule="exact"/>
      </w:pPr>
      <w:r>
        <w:rPr>
          <w:rFonts w:ascii="Arial" w:eastAsia="Microsoft YaHei" w:hAnsi="Arial"/>
          <w:b/>
          <w:bCs/>
          <w:color w:val="2458B8"/>
          <w:sz w:val="29"/>
          <w:szCs w:val="29"/>
        </w:rPr>
        <w:t xml:space="preserve">专业技能与成果</w:t>
      </w:r>
    </w:p>
    <w:p>
      <w:pPr>
        <w:pStyle w:val="ListParagraph"/>
        <w:numPr>
          <w:ilvl w:val="0"/>
          <w:numId w:val="2"/>
        </w:numPr>
        <w:spacing w:line="240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工程实现：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Python / FastAPI / SQL、API 联调、AWS Serverless 部署与监控；LLM / Agent、RAG、Tool Calling、回归评测。</w:t>
      </w:r>
    </w:p>
    <w:p>
      <w:pPr>
        <w:pStyle w:val="ListParagraph"/>
        <w:numPr>
          <w:ilvl w:val="0"/>
          <w:numId w:val="2"/>
        </w:numPr>
        <w:spacing w:line="240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著作与论文：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著作 </w:t>
      </w:r>
      <w:r>
        <w:rPr>
          <w:rFonts w:ascii="Times New Roman" w:cs="Times New Roman" w:eastAsia="Microsoft YaHei" w:hAnsi="Times New Roman"/>
          <w:b w:val="false"/>
          <w:bCs w:val="false"/>
          <w:i/>
          <w:iCs/>
          <w:color w:val="151515"/>
          <w:sz w:val="19"/>
          <w:szCs w:val="19"/>
        </w:rPr>
        <w:t xml:space="preserve">The Money AI Is Allowed to Move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（AI 经济权限 L0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–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L4 分级框架）；论文 DOI: 10.54691/bcpmb.v38i.3909。</w:t>
      </w:r>
    </w:p>
    <w:p>
      <w:pPr>
        <w:pStyle w:val="ListParagraph"/>
        <w:numPr>
          <w:ilvl w:val="0"/>
          <w:numId w:val="2"/>
        </w:numPr>
        <w:spacing w:line="240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荣誉与语言：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全国大学生电子商务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“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三创赛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”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最佳创业奖（团队组长）；英语熟练，普通话/潮汕话/客家话母语，粤语基础。</w:t>
      </w:r>
    </w:p>
    <w:sectPr>
      <w:pgSz w:w="11906" w:h="16838" w:orient="portrait"/>
      <w:pgMar w:top="397" w:right="567" w:bottom="360" w:left="567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80"/>
      </w:pPr>
      <w:rPr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icrosoft YaHei" w:hAnsi="Times New Roman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3brzoklcfpx_tjhepwgb" Type="http://schemas.openxmlformats.org/officeDocument/2006/relationships/hyperlink" Target="https://github.com/joshuazou-web" TargetMode="External"/><Relationship Id="rId4v7f1kput42wjyjdc-sl-" Type="http://schemas.openxmlformats.org/officeDocument/2006/relationships/hyperlink" Target="https://github.com/joshuazou-web/joshuazou-web/blob/main/evidence/ThinkBeforeClick_Product_Report.pdf" TargetMode="External"/><Relationship Id="rId2gd3suyiizlupv0pfwg1k" Type="http://schemas.openxmlformats.org/officeDocument/2006/relationships/hyperlink" Target="https://github.com/joshuazou-web/think-before-click-product-case" TargetMode="External"/><Relationship Id="rIdoutkcddgers6ue78nfydu" Type="http://schemas.openxmlformats.org/officeDocument/2006/relationships/hyperlink" Target="https://github.com/joshuazou-web/joshuazou-web/blob/main/evidence/AIStar_Product_Catalogue.pdf" TargetMode="External"/><Relationship Id="rId7" Type="http://schemas.openxmlformats.org/officeDocument/2006/relationships/image" Target="media/b3ec7dd7ecc1540366b969f1fe885175bdb67644.png"/><Relationship Id="rId8" Type="http://schemas.openxmlformats.org/officeDocument/2006/relationships/image" Target="media/74bb2cf805aadb179d9b09f13b905a188fc009fe.png"/><Relationship Id="rId9" Type="http://schemas.openxmlformats.org/officeDocument/2006/relationships/image" Target="media/7c2a261ed4c0da905d8aae035b66dbe770dcd68f.png"/><Relationship Id="rId10" Type="http://schemas.openxmlformats.org/officeDocument/2006/relationships/image" Target="media/b74390ca13cbfb4dcb20b91017ddc161a0b29818.png"/><Relationship Id="rId11" Type="http://schemas.openxmlformats.org/officeDocument/2006/relationships/image" Target="media/8c22db15f0cec3ea36525dad5a204dbeb0eab666.png"/><Relationship Id="rId12" Type="http://schemas.openxmlformats.org/officeDocument/2006/relationships/image" Target="media/98135b54dfed49da63d96a4aa2ef4938384ccef0.png"/><Relationship Id="rId13" Type="http://schemas.openxmlformats.org/officeDocument/2006/relationships/image" Target="media/c29e872642d1e5366b2048d8dc24e49940ba71b6.png"/><Relationship Id="rId14" Type="http://schemas.openxmlformats.org/officeDocument/2006/relationships/image" Target="media/d696176ac6ae802559d066aa5ab2b219c513568c.png"/><Relationship Id="rId15" Type="http://schemas.openxmlformats.org/officeDocument/2006/relationships/image" Target="media/b3ea40538c67639a5a72b355a9914192b5155e6e.png"/><Relationship Id="rId16" Type="http://schemas.openxmlformats.org/officeDocument/2006/relationships/image" Target="media/3b593b7707f533cc0d65602139fcb8e9a6f4b4b1.png"/><Relationship Id="rId17" Type="http://schemas.openxmlformats.org/officeDocument/2006/relationships/image" Target="media/b09097d56ad5338eab643eb438f4a312d3cf14e4.png"/><Relationship Id="rId18" Type="http://schemas.openxmlformats.org/officeDocument/2006/relationships/image" Target="media/5f2f4a3f4bd672ba0522c6bc27b009f06f27062c.png"/><Relationship Id="rId19" Type="http://schemas.openxmlformats.org/officeDocument/2006/relationships/image" Target="media/1b34abb5b43a0557259ec62e2491b0ec643759fd.png"/><Relationship Id="rId20" Type="http://schemas.openxmlformats.org/officeDocument/2006/relationships/image" Target="media/10f8b9fb3968f69caf88fa25ff041a9c4944d0ad.png"/><Relationship Id="rId21" Type="http://schemas.openxmlformats.org/officeDocument/2006/relationships/image" Target="media/21e48fedbbfb2f79ed9f9c4fa20cd6c9ebf5d2ce.png"/><Relationship Id="rId22" Type="http://schemas.openxmlformats.org/officeDocument/2006/relationships/image" Target="media/ee7daf7bcaa356ad78f03878d46bf34b637d398b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邹志华 · FDE 简历</dc:title>
  <dc:creator>邹志华</dc:creator>
  <cp:lastModifiedBy>Un-named</cp:lastModifiedBy>
  <cp:revision>1</cp:revision>
  <dcterms:created xsi:type="dcterms:W3CDTF">2026-09-23T10:34:11.768Z</dcterms:created>
  <dcterms:modified xsi:type="dcterms:W3CDTF">2026-09-23T10:34:11.768Z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