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rFonts w:ascii="Arial" w:hAnsi="Arial"/>
          <w:color w:val="969696"/>
          <w:sz w:val="13"/>
        </w:rPr>
      </w:pPr>
      <w:r>
        <w:rPr/>
      </w:r>
    </w:p>
    <w:p>
      <w:pPr>
        <w:pStyle w:val="Normal"/>
        <w:spacing w:before="1512" w:after="80"/>
        <w:jc w:val="end"/>
        <w:rPr>
          <w:color w:val="2A6099"/>
        </w:rPr>
      </w:pPr>
      <w:r>
        <w:rPr>
          <w:color w:val="2A6099"/>
          <w:sz w:val="34"/>
        </w:rPr>
        <w:t>Performance Test Execution Closure Report</w:t>
      </w:r>
    </w:p>
    <w:p>
      <w:pPr>
        <w:pStyle w:val="Normal"/>
        <w:spacing w:before="120" w:after="80"/>
        <w:jc w:val="end"/>
        <w:rPr>
          <w:sz w:val="26"/>
          <w:szCs w:val="26"/>
        </w:rPr>
      </w:pPr>
      <w:r>
        <w:rPr>
          <w:sz w:val="26"/>
          <w:szCs w:val="26"/>
        </w:rPr>
        <w:t>30 September 2026</w:t>
      </w:r>
    </w:p>
    <w:p>
      <w:pPr>
        <w:pStyle w:val="Normal"/>
        <w:jc w:val="end"/>
        <w:rPr>
          <w:sz w:val="26"/>
          <w:szCs w:val="26"/>
        </w:rPr>
      </w:pPr>
      <w:r>
        <w:rPr>
          <w:sz w:val="26"/>
          <w:szCs w:val="26"/>
        </w:rPr>
        <w:t>Version 0.</w:t>
      </w:r>
      <w:r>
        <w:rPr>
          <w:sz w:val="26"/>
          <w:szCs w:val="26"/>
        </w:rPr>
        <w:t>1</w:t>
      </w:r>
    </w:p>
    <w:p>
      <w:pPr>
        <w:pStyle w:val="Normal"/>
        <w:rPr/>
      </w:pPr>
      <w:r>
        <w:rPr/>
      </w:r>
      <w:r>
        <w:br w:type="page"/>
      </w:r>
    </w:p>
    <w:p>
      <w:pPr>
        <w:pStyle w:val="TOCHeading"/>
        <w:rPr>
          <w:color w:val="2A6099"/>
        </w:rPr>
      </w:pPr>
      <w:bookmarkStart w:id="0" w:name="__RefHeading___Toc1989_121261670"/>
      <w:bookmarkEnd w:id="0"/>
      <w:r>
        <w:rPr>
          <w:color w:val="2A6099"/>
        </w:rPr>
        <w:t>Approvals</w:t>
      </w:r>
    </w:p>
    <w:tbl>
      <w:tblPr>
        <w:tblW w:w="983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78"/>
        <w:gridCol w:w="3278"/>
        <w:gridCol w:w="3279"/>
      </w:tblGrid>
      <w:tr>
        <w:trPr/>
        <w:tc>
          <w:tcPr>
            <w:tcW w:w="3278" w:type="dxa"/>
            <w:tcBorders>
              <w:top w:val="single" w:sz="6" w:space="0" w:color="000000"/>
              <w:start w:val="single" w:sz="6" w:space="0" w:color="000000"/>
              <w:bottom w:val="single" w:sz="6" w:space="0" w:color="000000"/>
              <w:end w:val="single" w:sz="6" w:space="0" w:color="000000"/>
            </w:tcBorders>
            <w:shd w:fill="F2F2F2" w:val="clear"/>
          </w:tcPr>
          <w:p>
            <w:pPr>
              <w:pStyle w:val="Normal"/>
              <w:spacing w:before="0" w:after="80"/>
              <w:jc w:val="center"/>
              <w:rPr/>
            </w:pPr>
            <w:r>
              <w:rPr>
                <w:b/>
                <w:sz w:val="15"/>
              </w:rPr>
              <w:t>Role and Approval Detail</w:t>
            </w:r>
          </w:p>
        </w:tc>
        <w:tc>
          <w:tcPr>
            <w:tcW w:w="3278" w:type="dxa"/>
            <w:tcBorders>
              <w:top w:val="single" w:sz="6" w:space="0" w:color="000000"/>
              <w:start w:val="single" w:sz="6" w:space="0" w:color="000000"/>
              <w:bottom w:val="single" w:sz="6" w:space="0" w:color="000000"/>
              <w:end w:val="single" w:sz="6" w:space="0" w:color="000000"/>
            </w:tcBorders>
            <w:shd w:fill="F2F2F2" w:val="clear"/>
          </w:tcPr>
          <w:p>
            <w:pPr>
              <w:pStyle w:val="Normal"/>
              <w:spacing w:before="0" w:after="80"/>
              <w:jc w:val="center"/>
              <w:rPr/>
            </w:pPr>
            <w:r>
              <w:rPr>
                <w:b/>
                <w:sz w:val="15"/>
              </w:rPr>
              <w:t>Name &amp; Email of the approver</w:t>
            </w:r>
          </w:p>
        </w:tc>
        <w:tc>
          <w:tcPr>
            <w:tcW w:w="3279" w:type="dxa"/>
            <w:tcBorders>
              <w:top w:val="single" w:sz="6" w:space="0" w:color="000000"/>
              <w:start w:val="single" w:sz="6" w:space="0" w:color="000000"/>
              <w:bottom w:val="single" w:sz="6" w:space="0" w:color="000000"/>
              <w:end w:val="single" w:sz="6" w:space="0" w:color="000000"/>
            </w:tcBorders>
            <w:shd w:fill="F2F2F2" w:val="clear"/>
          </w:tcPr>
          <w:p>
            <w:pPr>
              <w:pStyle w:val="Normal"/>
              <w:spacing w:before="0" w:after="80"/>
              <w:jc w:val="center"/>
              <w:rPr/>
            </w:pPr>
            <w:r>
              <w:rPr>
                <w:b/>
                <w:sz w:val="15"/>
              </w:rPr>
              <w:t>Title</w:t>
            </w:r>
          </w:p>
        </w:tc>
      </w:tr>
      <w:tr>
        <w:trPr/>
        <w:tc>
          <w:tcPr>
            <w:tcW w:w="327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pPr>
            <w:r>
              <w:rPr/>
            </w:r>
          </w:p>
        </w:tc>
        <w:tc>
          <w:tcPr>
            <w:tcW w:w="327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pPr>
            <w:r>
              <w:rPr/>
            </w:r>
          </w:p>
        </w:tc>
        <w:tc>
          <w:tcPr>
            <w:tcW w:w="327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pPr>
            <w:r>
              <w:rPr/>
            </w:r>
          </w:p>
        </w:tc>
      </w:tr>
      <w:tr>
        <w:trPr/>
        <w:tc>
          <w:tcPr>
            <w:tcW w:w="327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pPr>
            <w:r>
              <w:rPr/>
            </w:r>
          </w:p>
        </w:tc>
        <w:tc>
          <w:tcPr>
            <w:tcW w:w="327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pPr>
            <w:r>
              <w:rPr/>
            </w:r>
          </w:p>
        </w:tc>
        <w:tc>
          <w:tcPr>
            <w:tcW w:w="327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pPr>
            <w:r>
              <w:rPr/>
            </w:r>
          </w:p>
        </w:tc>
      </w:tr>
      <w:tr>
        <w:trPr/>
        <w:tc>
          <w:tcPr>
            <w:tcW w:w="327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pPr>
            <w:r>
              <w:rPr/>
            </w:r>
          </w:p>
        </w:tc>
        <w:tc>
          <w:tcPr>
            <w:tcW w:w="327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pPr>
            <w:r>
              <w:rPr/>
            </w:r>
          </w:p>
        </w:tc>
        <w:tc>
          <w:tcPr>
            <w:tcW w:w="327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pPr>
            <w:r>
              <w:rPr/>
            </w:r>
          </w:p>
        </w:tc>
      </w:tr>
    </w:tbl>
    <w:p>
      <w:pPr>
        <w:pStyle w:val="TOCHeading"/>
        <w:rPr>
          <w:color w:val="2A6099"/>
        </w:rPr>
      </w:pPr>
      <w:bookmarkStart w:id="1" w:name="__RefHeading___Toc1991_121261670"/>
      <w:bookmarkEnd w:id="1"/>
      <w:r>
        <w:rPr>
          <w:color w:val="2A6099"/>
        </w:rPr>
        <w:t>Version History</w:t>
      </w:r>
    </w:p>
    <w:p>
      <w:pPr>
        <w:pStyle w:val="Normal"/>
        <w:rPr/>
      </w:pPr>
      <w:r>
        <w:rPr/>
        <w:t>List all revisions to the original artifact, starting with publication of the artifact with the author listed.</w:t>
      </w:r>
    </w:p>
    <w:tbl>
      <w:tblPr>
        <w:tblW w:w="98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59"/>
        <w:gridCol w:w="2459"/>
        <w:gridCol w:w="2459"/>
        <w:gridCol w:w="2459"/>
      </w:tblGrid>
      <w:tr>
        <w:trPr/>
        <w:tc>
          <w:tcPr>
            <w:tcW w:w="2459" w:type="dxa"/>
            <w:tcBorders>
              <w:top w:val="single" w:sz="6" w:space="0" w:color="000000"/>
              <w:start w:val="single" w:sz="6" w:space="0" w:color="000000"/>
              <w:bottom w:val="single" w:sz="6" w:space="0" w:color="000000"/>
              <w:end w:val="single" w:sz="6" w:space="0" w:color="000000"/>
            </w:tcBorders>
            <w:shd w:fill="F2F2F2" w:val="clear"/>
          </w:tcPr>
          <w:p>
            <w:pPr>
              <w:pStyle w:val="Normal"/>
              <w:spacing w:before="0" w:after="80"/>
              <w:jc w:val="center"/>
              <w:rPr/>
            </w:pPr>
            <w:r>
              <w:rPr>
                <w:b/>
                <w:sz w:val="15"/>
              </w:rPr>
              <w:t>Version No.</w:t>
            </w:r>
          </w:p>
        </w:tc>
        <w:tc>
          <w:tcPr>
            <w:tcW w:w="2459" w:type="dxa"/>
            <w:tcBorders>
              <w:top w:val="single" w:sz="6" w:space="0" w:color="000000"/>
              <w:start w:val="single" w:sz="6" w:space="0" w:color="000000"/>
              <w:bottom w:val="single" w:sz="6" w:space="0" w:color="000000"/>
              <w:end w:val="single" w:sz="6" w:space="0" w:color="000000"/>
            </w:tcBorders>
            <w:shd w:fill="F2F2F2" w:val="clear"/>
          </w:tcPr>
          <w:p>
            <w:pPr>
              <w:pStyle w:val="Normal"/>
              <w:spacing w:before="0" w:after="80"/>
              <w:jc w:val="center"/>
              <w:rPr/>
            </w:pPr>
            <w:r>
              <w:rPr>
                <w:b/>
                <w:sz w:val="15"/>
              </w:rPr>
              <w:t>Revision Date</w:t>
            </w:r>
          </w:p>
        </w:tc>
        <w:tc>
          <w:tcPr>
            <w:tcW w:w="2459" w:type="dxa"/>
            <w:tcBorders>
              <w:top w:val="single" w:sz="6" w:space="0" w:color="000000"/>
              <w:start w:val="single" w:sz="6" w:space="0" w:color="000000"/>
              <w:bottom w:val="single" w:sz="6" w:space="0" w:color="000000"/>
              <w:end w:val="single" w:sz="6" w:space="0" w:color="000000"/>
            </w:tcBorders>
            <w:shd w:fill="F2F2F2" w:val="clear"/>
          </w:tcPr>
          <w:p>
            <w:pPr>
              <w:pStyle w:val="Normal"/>
              <w:spacing w:before="0" w:after="80"/>
              <w:jc w:val="center"/>
              <w:rPr/>
            </w:pPr>
            <w:r>
              <w:rPr>
                <w:b/>
                <w:sz w:val="15"/>
              </w:rPr>
              <w:t>Revised By</w:t>
            </w:r>
          </w:p>
        </w:tc>
        <w:tc>
          <w:tcPr>
            <w:tcW w:w="2459" w:type="dxa"/>
            <w:tcBorders>
              <w:top w:val="single" w:sz="6" w:space="0" w:color="000000"/>
              <w:start w:val="single" w:sz="6" w:space="0" w:color="000000"/>
              <w:bottom w:val="single" w:sz="6" w:space="0" w:color="000000"/>
              <w:end w:val="single" w:sz="6" w:space="0" w:color="000000"/>
            </w:tcBorders>
            <w:shd w:fill="F2F2F2" w:val="clear"/>
          </w:tcPr>
          <w:p>
            <w:pPr>
              <w:pStyle w:val="Normal"/>
              <w:spacing w:before="0" w:after="80"/>
              <w:jc w:val="center"/>
              <w:rPr/>
            </w:pPr>
            <w:r>
              <w:rPr>
                <w:b/>
                <w:sz w:val="15"/>
              </w:rPr>
              <w:t>Change Description</w:t>
            </w:r>
          </w:p>
        </w:tc>
      </w:tr>
      <w:tr>
        <w:trPr/>
        <w:tc>
          <w:tcPr>
            <w:tcW w:w="245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pPr>
            <w:r>
              <w:rPr>
                <w:sz w:val="15"/>
              </w:rPr>
              <w:t>0.0</w:t>
            </w:r>
          </w:p>
        </w:tc>
        <w:tc>
          <w:tcPr>
            <w:tcW w:w="245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pPr>
            <w:r>
              <w:rPr>
                <w:sz w:val="15"/>
              </w:rPr>
              <w:t>0-March-2026</w:t>
            </w:r>
          </w:p>
        </w:tc>
        <w:tc>
          <w:tcPr>
            <w:tcW w:w="245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pPr>
            <w:r>
              <w:rPr>
                <w:sz w:val="15"/>
              </w:rPr>
              <w:t>Performance Team</w:t>
            </w:r>
          </w:p>
        </w:tc>
        <w:tc>
          <w:tcPr>
            <w:tcW w:w="245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pPr>
            <w:r>
              <w:rPr>
                <w:sz w:val="15"/>
              </w:rPr>
              <w:t>Initial Draft</w:t>
            </w:r>
          </w:p>
        </w:tc>
      </w:tr>
      <w:tr>
        <w:trPr/>
        <w:tc>
          <w:tcPr>
            <w:tcW w:w="245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Arial" w:hAnsi="Arial"/>
                <w:sz w:val="15"/>
              </w:rPr>
            </w:pPr>
            <w:r>
              <w:rPr/>
            </w:r>
          </w:p>
        </w:tc>
        <w:tc>
          <w:tcPr>
            <w:tcW w:w="245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Arial" w:hAnsi="Arial"/>
                <w:sz w:val="15"/>
              </w:rPr>
            </w:pPr>
            <w:r>
              <w:rPr/>
            </w:r>
          </w:p>
        </w:tc>
        <w:tc>
          <w:tcPr>
            <w:tcW w:w="245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Arial" w:hAnsi="Arial"/>
                <w:sz w:val="15"/>
              </w:rPr>
            </w:pPr>
            <w:r>
              <w:rPr/>
            </w:r>
          </w:p>
        </w:tc>
        <w:tc>
          <w:tcPr>
            <w:tcW w:w="245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Arial" w:hAnsi="Arial"/>
                <w:sz w:val="15"/>
              </w:rPr>
            </w:pPr>
            <w:r>
              <w:rPr/>
            </w:r>
          </w:p>
        </w:tc>
      </w:tr>
      <w:tr>
        <w:trPr/>
        <w:tc>
          <w:tcPr>
            <w:tcW w:w="245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Arial" w:hAnsi="Arial"/>
                <w:sz w:val="15"/>
              </w:rPr>
            </w:pPr>
            <w:r>
              <w:rPr/>
            </w:r>
          </w:p>
        </w:tc>
        <w:tc>
          <w:tcPr>
            <w:tcW w:w="245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Arial" w:hAnsi="Arial"/>
                <w:sz w:val="15"/>
              </w:rPr>
            </w:pPr>
            <w:r>
              <w:rPr/>
            </w:r>
          </w:p>
        </w:tc>
        <w:tc>
          <w:tcPr>
            <w:tcW w:w="245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Arial" w:hAnsi="Arial"/>
                <w:sz w:val="15"/>
              </w:rPr>
            </w:pPr>
            <w:r>
              <w:rPr/>
            </w:r>
          </w:p>
        </w:tc>
        <w:tc>
          <w:tcPr>
            <w:tcW w:w="245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Arial" w:hAnsi="Arial"/>
                <w:sz w:val="15"/>
              </w:rPr>
            </w:pPr>
            <w:r>
              <w:rPr/>
            </w:r>
          </w:p>
        </w:tc>
      </w:tr>
      <w:tr>
        <w:trPr/>
        <w:tc>
          <w:tcPr>
            <w:tcW w:w="245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Arial" w:hAnsi="Arial"/>
                <w:sz w:val="15"/>
              </w:rPr>
            </w:pPr>
            <w:r>
              <w:rPr/>
            </w:r>
          </w:p>
        </w:tc>
        <w:tc>
          <w:tcPr>
            <w:tcW w:w="245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Arial" w:hAnsi="Arial"/>
                <w:sz w:val="15"/>
              </w:rPr>
            </w:pPr>
            <w:r>
              <w:rPr/>
            </w:r>
          </w:p>
        </w:tc>
        <w:tc>
          <w:tcPr>
            <w:tcW w:w="245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Arial" w:hAnsi="Arial"/>
                <w:sz w:val="15"/>
              </w:rPr>
            </w:pPr>
            <w:r>
              <w:rPr/>
            </w:r>
          </w:p>
        </w:tc>
        <w:tc>
          <w:tcPr>
            <w:tcW w:w="245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Arial" w:hAnsi="Arial"/>
                <w:sz w:val="15"/>
              </w:rPr>
            </w:pPr>
            <w:r>
              <w:rPr/>
            </w:r>
          </w:p>
        </w:tc>
      </w:tr>
      <w:tr>
        <w:trPr/>
        <w:tc>
          <w:tcPr>
            <w:tcW w:w="245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Arial" w:hAnsi="Arial"/>
                <w:sz w:val="15"/>
              </w:rPr>
            </w:pPr>
            <w:r>
              <w:rPr/>
            </w:r>
          </w:p>
        </w:tc>
        <w:tc>
          <w:tcPr>
            <w:tcW w:w="245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Arial" w:hAnsi="Arial"/>
                <w:sz w:val="15"/>
              </w:rPr>
            </w:pPr>
            <w:r>
              <w:rPr/>
            </w:r>
          </w:p>
        </w:tc>
        <w:tc>
          <w:tcPr>
            <w:tcW w:w="245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Arial" w:hAnsi="Arial"/>
                <w:sz w:val="15"/>
              </w:rPr>
            </w:pPr>
            <w:r>
              <w:rPr/>
            </w:r>
          </w:p>
        </w:tc>
        <w:tc>
          <w:tcPr>
            <w:tcW w:w="245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Arial" w:hAnsi="Arial"/>
                <w:sz w:val="15"/>
              </w:rPr>
            </w:pPr>
            <w:r>
              <w:rPr/>
            </w:r>
          </w:p>
        </w:tc>
      </w:tr>
    </w:tbl>
    <w:p>
      <w:pPr>
        <w:pStyle w:val="TOCHeading"/>
        <w:rPr>
          <w:color w:val="2A6099"/>
        </w:rPr>
      </w:pPr>
      <w:bookmarkStart w:id="2" w:name="__RefHeading___Toc1993_121261670"/>
      <w:bookmarkEnd w:id="2"/>
      <w:r>
        <w:rPr>
          <w:color w:val="2A6099"/>
        </w:rPr>
        <w:t>Contributors</w:t>
      </w:r>
    </w:p>
    <w:p>
      <w:pPr>
        <w:pStyle w:val="Normal"/>
        <w:rPr/>
      </w:pPr>
      <w:r>
        <w:rPr/>
        <w:t>The following listed individuals provided content to this document.</w:t>
      </w:r>
    </w:p>
    <w:tbl>
      <w:tblPr>
        <w:tblW w:w="983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17"/>
        <w:gridCol w:w="4918"/>
      </w:tblGrid>
      <w:tr>
        <w:trPr/>
        <w:tc>
          <w:tcPr>
            <w:tcW w:w="4917" w:type="dxa"/>
            <w:tcBorders>
              <w:top w:val="single" w:sz="6" w:space="0" w:color="000000"/>
              <w:start w:val="single" w:sz="6" w:space="0" w:color="000000"/>
              <w:bottom w:val="single" w:sz="6" w:space="0" w:color="000000"/>
              <w:end w:val="single" w:sz="6" w:space="0" w:color="000000"/>
            </w:tcBorders>
            <w:shd w:fill="F2F2F2" w:val="clear"/>
          </w:tcPr>
          <w:p>
            <w:pPr>
              <w:pStyle w:val="Normal"/>
              <w:spacing w:before="0" w:after="80"/>
              <w:jc w:val="center"/>
              <w:rPr/>
            </w:pPr>
            <w:r>
              <w:rPr>
                <w:b/>
                <w:sz w:val="15"/>
              </w:rPr>
              <w:t>Name</w:t>
            </w:r>
          </w:p>
        </w:tc>
        <w:tc>
          <w:tcPr>
            <w:tcW w:w="4918" w:type="dxa"/>
            <w:tcBorders>
              <w:top w:val="single" w:sz="6" w:space="0" w:color="000000"/>
              <w:start w:val="single" w:sz="6" w:space="0" w:color="000000"/>
              <w:bottom w:val="single" w:sz="6" w:space="0" w:color="000000"/>
              <w:end w:val="single" w:sz="6" w:space="0" w:color="000000"/>
            </w:tcBorders>
            <w:shd w:fill="F2F2F2" w:val="clear"/>
          </w:tcPr>
          <w:p>
            <w:pPr>
              <w:pStyle w:val="Normal"/>
              <w:spacing w:before="0" w:after="80"/>
              <w:jc w:val="center"/>
              <w:rPr/>
            </w:pPr>
            <w:r>
              <w:rPr>
                <w:b/>
                <w:sz w:val="15"/>
              </w:rPr>
              <w:t>Role</w:t>
            </w:r>
          </w:p>
        </w:tc>
      </w:tr>
      <w:tr>
        <w:trPr/>
        <w:tc>
          <w:tcPr>
            <w:tcW w:w="4917"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pPr>
            <w:r>
              <w:rPr>
                <w:sz w:val="15"/>
              </w:rPr>
              <w:t>Karthikeyan Rajendran</w:t>
            </w:r>
          </w:p>
        </w:tc>
        <w:tc>
          <w:tcPr>
            <w:tcW w:w="4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pPr>
            <w:r>
              <w:rPr>
                <w:sz w:val="15"/>
              </w:rPr>
              <w:t>Performance Test Lead</w:t>
            </w:r>
          </w:p>
        </w:tc>
      </w:tr>
      <w:tr>
        <w:trPr>
          <w:trHeight w:val="276" w:hRule="atLeast"/>
        </w:trPr>
        <w:tc>
          <w:tcPr>
            <w:tcW w:w="4917"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Arial" w:hAnsi="Arial"/>
                <w:sz w:val="15"/>
              </w:rPr>
            </w:pPr>
            <w:r>
              <w:rPr/>
            </w:r>
          </w:p>
        </w:tc>
        <w:tc>
          <w:tcPr>
            <w:tcW w:w="4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Arial" w:hAnsi="Arial"/>
                <w:sz w:val="15"/>
              </w:rPr>
            </w:pPr>
            <w:r>
              <w:rPr/>
            </w:r>
          </w:p>
        </w:tc>
      </w:tr>
    </w:tbl>
    <w:p>
      <w:pPr>
        <w:pStyle w:val="TOCHeading"/>
        <w:rPr>
          <w:color w:val="2A6099"/>
        </w:rPr>
      </w:pPr>
      <w:bookmarkStart w:id="3" w:name="__RefHeading___Toc1995_121261670"/>
      <w:bookmarkEnd w:id="3"/>
      <w:r>
        <w:rPr>
          <w:color w:val="2A6099"/>
        </w:rPr>
        <w:t>Reviewers</w:t>
      </w:r>
    </w:p>
    <w:p>
      <w:pPr>
        <w:pStyle w:val="Normal"/>
        <w:rPr/>
      </w:pPr>
      <w:r>
        <w:rPr/>
        <w:t>The listed individuals had the opportunity to review this document and provide input prior to submission.</w:t>
      </w:r>
    </w:p>
    <w:tbl>
      <w:tblPr>
        <w:tblW w:w="983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17"/>
        <w:gridCol w:w="4918"/>
      </w:tblGrid>
      <w:tr>
        <w:trPr/>
        <w:tc>
          <w:tcPr>
            <w:tcW w:w="4917" w:type="dxa"/>
            <w:tcBorders>
              <w:top w:val="single" w:sz="6" w:space="0" w:color="000000"/>
              <w:start w:val="single" w:sz="6" w:space="0" w:color="000000"/>
              <w:bottom w:val="single" w:sz="6" w:space="0" w:color="000000"/>
              <w:end w:val="single" w:sz="6" w:space="0" w:color="000000"/>
            </w:tcBorders>
            <w:shd w:fill="F2F2F2" w:val="clear"/>
          </w:tcPr>
          <w:p>
            <w:pPr>
              <w:pStyle w:val="Normal"/>
              <w:spacing w:before="0" w:after="80"/>
              <w:jc w:val="center"/>
              <w:rPr/>
            </w:pPr>
            <w:r>
              <w:rPr>
                <w:b/>
                <w:sz w:val="15"/>
              </w:rPr>
              <w:t>Name</w:t>
            </w:r>
          </w:p>
        </w:tc>
        <w:tc>
          <w:tcPr>
            <w:tcW w:w="4918" w:type="dxa"/>
            <w:tcBorders>
              <w:top w:val="single" w:sz="6" w:space="0" w:color="000000"/>
              <w:start w:val="single" w:sz="6" w:space="0" w:color="000000"/>
              <w:bottom w:val="single" w:sz="6" w:space="0" w:color="000000"/>
              <w:end w:val="single" w:sz="6" w:space="0" w:color="000000"/>
            </w:tcBorders>
            <w:shd w:fill="F2F2F2" w:val="clear"/>
          </w:tcPr>
          <w:p>
            <w:pPr>
              <w:pStyle w:val="Normal"/>
              <w:spacing w:before="0" w:after="80"/>
              <w:jc w:val="center"/>
              <w:rPr/>
            </w:pPr>
            <w:r>
              <w:rPr>
                <w:b/>
                <w:sz w:val="15"/>
              </w:rPr>
              <w:t>Work effort role</w:t>
            </w:r>
          </w:p>
        </w:tc>
      </w:tr>
      <w:tr>
        <w:trPr/>
        <w:tc>
          <w:tcPr>
            <w:tcW w:w="4917"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pPr>
            <w:r>
              <w:rPr>
                <w:sz w:val="15"/>
              </w:rPr>
              <w:t>Udayakumar Diravidamani</w:t>
            </w:r>
          </w:p>
        </w:tc>
        <w:tc>
          <w:tcPr>
            <w:tcW w:w="4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pPr>
            <w:r>
              <w:rPr>
                <w:sz w:val="15"/>
              </w:rPr>
              <w:t>Senior Project Manager</w:t>
            </w:r>
          </w:p>
        </w:tc>
      </w:tr>
    </w:tbl>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835"/>
              <w:tab w:val="right" w:pos="9776" w:leader="dot"/>
            </w:tabs>
            <w:rPr/>
          </w:pPr>
          <w:r>
            <w:fldChar w:fldCharType="begin"/>
          </w:r>
          <w:r>
            <w:rPr>
              <w:rStyle w:val="IndexLink"/>
            </w:rPr>
            <w:instrText xml:space="preserve"> TOC \f \o "1-9" \h</w:instrText>
          </w:r>
          <w:r>
            <w:rPr>
              <w:rStyle w:val="IndexLink"/>
            </w:rPr>
            <w:fldChar w:fldCharType="separate"/>
          </w:r>
          <w:hyperlink w:anchor="__RefHeading___Toc1997_121261670" w:tooltip="1. Executive Summary">
            <w:r>
              <w:rPr>
                <w:rStyle w:val="IndexLink"/>
              </w:rPr>
              <w:t>1. Executive Summary</w:t>
              <w:tab/>
              <w:t>4</w:t>
            </w:r>
          </w:hyperlink>
        </w:p>
        <w:p>
          <w:pPr>
            <w:pStyle w:val="TOC1"/>
            <w:tabs>
              <w:tab w:val="clear" w:pos="9835"/>
              <w:tab w:val="right" w:pos="9776" w:leader="dot"/>
            </w:tabs>
            <w:rPr/>
          </w:pPr>
          <w:hyperlink w:anchor="__RefHeading___Toc1999_121261670" w:tooltip="2. Key Objectives">
            <w:r>
              <w:rPr>
                <w:rStyle w:val="IndexLink"/>
              </w:rPr>
              <w:t>2. Key Objectives</w:t>
              <w:tab/>
              <w:t>4</w:t>
            </w:r>
          </w:hyperlink>
        </w:p>
        <w:p>
          <w:pPr>
            <w:pStyle w:val="TOC1"/>
            <w:tabs>
              <w:tab w:val="clear" w:pos="9835"/>
              <w:tab w:val="right" w:pos="9776" w:leader="dot"/>
            </w:tabs>
            <w:rPr/>
          </w:pPr>
          <w:hyperlink w:anchor="__RefHeading___Toc2001_121261670" w:tooltip="3. Test Environment">
            <w:r>
              <w:rPr>
                <w:rStyle w:val="IndexLink"/>
              </w:rPr>
              <w:t>3. Test Environment</w:t>
              <w:tab/>
              <w:t>4</w:t>
            </w:r>
          </w:hyperlink>
        </w:p>
        <w:p>
          <w:pPr>
            <w:pStyle w:val="TOC1"/>
            <w:tabs>
              <w:tab w:val="clear" w:pos="9835"/>
              <w:tab w:val="right" w:pos="9776" w:leader="dot"/>
            </w:tabs>
            <w:rPr/>
          </w:pPr>
          <w:hyperlink w:anchor="__RefHeading___Toc2013_121261670" w:tooltip="4. Test Scope, Metrics &amp; KPIs">
            <w:r>
              <w:rPr>
                <w:rStyle w:val="IndexLink"/>
              </w:rPr>
              <w:t>4. Test Scope, Metrics &amp; KPIs</w:t>
              <w:tab/>
              <w:t>5</w:t>
            </w:r>
          </w:hyperlink>
        </w:p>
        <w:p>
          <w:pPr>
            <w:pStyle w:val="TOC1"/>
            <w:tabs>
              <w:tab w:val="clear" w:pos="9835"/>
              <w:tab w:val="right" w:pos="9776" w:leader="dot"/>
            </w:tabs>
            <w:rPr/>
          </w:pPr>
          <w:hyperlink w:anchor="__RefHeading___Toc2023_121261670COPY_IS_" w:tooltip="5. Workload Matrix">
            <w:r>
              <w:rPr>
                <w:rStyle w:val="IndexLink"/>
              </w:rPr>
              <w:t>5. Workload Matrix</w:t>
              <w:tab/>
              <w:t>5</w:t>
            </w:r>
          </w:hyperlink>
        </w:p>
        <w:p>
          <w:pPr>
            <w:pStyle w:val="TOC1"/>
            <w:tabs>
              <w:tab w:val="clear" w:pos="9835"/>
              <w:tab w:val="right" w:pos="9776" w:leader="dot"/>
            </w:tabs>
            <w:rPr/>
          </w:pPr>
          <w:hyperlink w:anchor="__RefHeading___Toc5203_121261670" w:tooltip="6. Test Results and Analysis – STATUS – green">
            <w:r>
              <w:rPr>
                <w:rStyle w:val="IndexLink"/>
              </w:rPr>
              <w:t>6. Test Results and Analysis – STATUS – green</w:t>
              <w:tab/>
              <w:t>5</w:t>
            </w:r>
          </w:hyperlink>
        </w:p>
        <w:p>
          <w:pPr>
            <w:pStyle w:val="TOC2"/>
            <w:tabs>
              <w:tab w:val="clear" w:pos="9552"/>
              <w:tab w:val="right" w:pos="9776" w:leader="dot"/>
            </w:tabs>
            <w:rPr/>
          </w:pPr>
          <w:hyperlink w:anchor="__RefHeading___Toc3831_121261670" w:tooltip=" 6.1 S1 – Standard Load:">
            <w:r>
              <w:rPr>
                <w:rStyle w:val="IndexLink"/>
              </w:rPr>
              <w:t xml:space="preserve"> </w:t>
            </w:r>
            <w:r>
              <w:rPr>
                <w:rStyle w:val="IndexLink"/>
              </w:rPr>
              <w:t>6.1 S1 – Standard Load:</w:t>
              <w:tab/>
              <w:t>5</w:t>
            </w:r>
          </w:hyperlink>
        </w:p>
        <w:p>
          <w:pPr>
            <w:pStyle w:val="TOC2"/>
            <w:tabs>
              <w:tab w:val="clear" w:pos="9552"/>
              <w:tab w:val="right" w:pos="9776" w:leader="dot"/>
            </w:tabs>
            <w:rPr/>
          </w:pPr>
          <w:hyperlink w:anchor="__RefHeading___Toc3833_121261670" w:tooltip="6.2 S2 – Heavy Load:">
            <w:r>
              <w:rPr>
                <w:rStyle w:val="IndexLink"/>
              </w:rPr>
              <w:t>6.2 S2 – Heavy Load:</w:t>
              <w:tab/>
              <w:t>6</w:t>
            </w:r>
          </w:hyperlink>
        </w:p>
        <w:p>
          <w:pPr>
            <w:pStyle w:val="TOC1"/>
            <w:tabs>
              <w:tab w:val="clear" w:pos="9835"/>
              <w:tab w:val="right" w:pos="9776" w:leader="dot"/>
            </w:tabs>
            <w:rPr/>
          </w:pPr>
          <w:hyperlink w:anchor="__RefHeading___Toc2047_121261670" w:tooltip="7. Findings">
            <w:r>
              <w:rPr>
                <w:rStyle w:val="IndexLink"/>
              </w:rPr>
              <w:t>7. Findings</w:t>
              <w:tab/>
              <w:t>7</w:t>
            </w:r>
          </w:hyperlink>
        </w:p>
        <w:p>
          <w:pPr>
            <w:pStyle w:val="TOC1"/>
            <w:tabs>
              <w:tab w:val="clear" w:pos="9835"/>
              <w:tab w:val="right" w:pos="9776" w:leader="dot"/>
            </w:tabs>
            <w:rPr/>
          </w:pPr>
          <w:hyperlink w:anchor="__RefHeading___Toc3219_121261670" w:tooltip="8. Server Metrics">
            <w:r>
              <w:rPr>
                <w:rStyle w:val="IndexLink"/>
              </w:rPr>
              <w:t>8. Server Metrics</w:t>
              <w:tab/>
              <w:t>7</w:t>
            </w:r>
          </w:hyperlink>
        </w:p>
        <w:p>
          <w:pPr>
            <w:pStyle w:val="TOC1"/>
            <w:tabs>
              <w:tab w:val="clear" w:pos="9835"/>
              <w:tab w:val="right" w:pos="9776" w:leader="dot"/>
            </w:tabs>
            <w:rPr/>
          </w:pPr>
          <w:hyperlink w:anchor="__RefHeading___Toc3221_121261670" w:tooltip="9. Conclusion">
            <w:r>
              <w:rPr>
                <w:rStyle w:val="IndexLink"/>
              </w:rPr>
              <w:t>9. Conclusion</w:t>
              <w:tab/>
              <w:t>8</w:t>
            </w:r>
          </w:hyperlink>
          <w:r>
            <w:rPr>
              <w:rStyle w:val="IndexLink"/>
            </w:rPr>
            <w:fldChar w:fldCharType="end"/>
          </w:r>
        </w:p>
      </w:sdtContent>
    </w:sdt>
    <w:p>
      <w:pPr>
        <w:pStyle w:val="Heading1"/>
        <w:spacing w:before="0" w:after="80"/>
        <w:rPr/>
      </w:pPr>
      <w:r>
        <w:rPr/>
      </w:r>
    </w:p>
    <w:p>
      <w:pPr>
        <w:pStyle w:val="Normal"/>
        <w:rPr/>
      </w:pPr>
      <w:r>
        <w:rPr/>
      </w:r>
      <w:r>
        <w:br w:type="page"/>
      </w:r>
    </w:p>
    <w:p>
      <w:pPr>
        <w:pStyle w:val="Heading1"/>
        <w:spacing w:before="0" w:after="80"/>
        <w:rPr/>
      </w:pPr>
      <w:bookmarkStart w:id="4" w:name="__RefHeading___Toc1997_121261670"/>
      <w:bookmarkEnd w:id="4"/>
      <w:r>
        <w:rPr>
          <w:color w:val="2A6099"/>
        </w:rPr>
        <w:t>1. Executive Summary</w:t>
      </w:r>
    </w:p>
    <w:p>
      <w:pPr>
        <w:pStyle w:val="Normal"/>
        <w:rPr>
          <w:rFonts w:ascii="Calibri" w:hAnsi="Calibri" w:cs="Calibri"/>
        </w:rPr>
      </w:pPr>
      <w:r>
        <w:rPr>
          <w:rFonts w:cs="Calibri" w:ascii="Calibri" w:hAnsi="Calibri"/>
        </w:rPr>
        <w:t xml:space="preserve">The performance testing for </w:t>
      </w:r>
      <w:r>
        <w:rPr>
          <w:rFonts w:eastAsia="Times New Roman" w:cs="Calibri" w:ascii="Calibri" w:hAnsi="Calibri"/>
          <w:color w:val="000000"/>
          <w:lang w:eastAsia="en-IN"/>
          <w14:ligatures w14:val="none"/>
        </w:rPr>
        <w:t>IST Switch - Ecom</w:t>
      </w:r>
      <w:r>
        <w:rPr>
          <w:rFonts w:cs="Calibri" w:ascii="Calibri" w:hAnsi="Calibri"/>
        </w:rPr>
        <w:t xml:space="preserve"> Non-Tokenized transactions is conducted to evaluate its capacity to handle concurrent transactions (based on expected workload), while ensuring compliance with established Service Level Agreements (SLAs).</w:t>
      </w:r>
    </w:p>
    <w:p>
      <w:pPr>
        <w:pStyle w:val="Normal"/>
        <w:rPr>
          <w:rFonts w:ascii="Calibri" w:hAnsi="Calibri" w:cs="Calibri"/>
        </w:rPr>
      </w:pPr>
      <w:r>
        <w:rPr>
          <w:rFonts w:cs="Calibri" w:ascii="Calibri" w:hAnsi="Calibri"/>
        </w:rPr>
        <w:t xml:space="preserve">For this round of performance testing,  </w:t>
      </w:r>
      <w:r>
        <w:rPr>
          <w:rFonts w:eastAsia="Times New Roman" w:cs="Calibri" w:ascii="Calibri" w:hAnsi="Calibri"/>
          <w:color w:val="000000"/>
          <w:lang w:eastAsia="en-IN"/>
          <w14:ligatures w14:val="none"/>
        </w:rPr>
        <w:t xml:space="preserve"> UAE Acquirer &amp; UAE Issuer (non-tokenized)</w:t>
      </w:r>
      <w:r>
        <w:rPr>
          <w:rFonts w:cs="Calibri" w:ascii="Calibri" w:hAnsi="Calibri"/>
        </w:rPr>
        <w:t xml:space="preserve"> is identified and tested across two distinct load scenarios:</w:t>
      </w:r>
    </w:p>
    <w:p>
      <w:pPr>
        <w:pStyle w:val="Normal"/>
        <w:numPr>
          <w:ilvl w:val="0"/>
          <w:numId w:val="7"/>
        </w:numPr>
        <w:rPr>
          <w:rFonts w:ascii="Calibri" w:hAnsi="Calibri" w:cs="Calibri"/>
        </w:rPr>
      </w:pPr>
      <w:r>
        <w:rPr>
          <w:rFonts w:cs="Calibri" w:ascii="Calibri" w:hAnsi="Calibri"/>
          <w:b/>
          <w:bCs/>
        </w:rPr>
        <w:t>Standard Load</w:t>
      </w:r>
      <w:r>
        <w:rPr>
          <w:rFonts w:cs="Calibri" w:ascii="Calibri" w:hAnsi="Calibri"/>
        </w:rPr>
        <w:t xml:space="preserve"> - Specific SLA metrics for the number of transactions and response time.</w:t>
      </w:r>
    </w:p>
    <w:p>
      <w:pPr>
        <w:pStyle w:val="Normal"/>
        <w:numPr>
          <w:ilvl w:val="0"/>
          <w:numId w:val="7"/>
        </w:numPr>
        <w:rPr>
          <w:rFonts w:ascii="Calibri" w:hAnsi="Calibri" w:cs="Calibri"/>
        </w:rPr>
      </w:pPr>
      <w:r>
        <w:rPr>
          <w:rFonts w:cs="Calibri" w:ascii="Calibri" w:hAnsi="Calibri"/>
          <w:b/>
          <w:bCs/>
        </w:rPr>
        <w:t>Heavy Load</w:t>
      </w:r>
      <w:r>
        <w:rPr>
          <w:rFonts w:cs="Calibri" w:ascii="Calibri" w:hAnsi="Calibri"/>
        </w:rPr>
        <w:t xml:space="preserve"> - Specific SLA metrics to evaluate performance under peak usage conditions.</w:t>
      </w:r>
    </w:p>
    <w:p>
      <w:pPr>
        <w:pStyle w:val="Normal"/>
        <w:rPr>
          <w:rFonts w:ascii="Calibri" w:hAnsi="Calibri" w:cs="Calibri"/>
        </w:rPr>
      </w:pPr>
      <w:r>
        <w:rPr>
          <w:rFonts w:cs="Calibri" w:ascii="Calibri" w:hAnsi="Calibri"/>
        </w:rPr>
        <w:t>The testing results aimed to validate the application's ability to maintain performance within the defined SLA targets for both scenarios.</w:t>
      </w:r>
    </w:p>
    <w:p>
      <w:pPr>
        <w:pStyle w:val="Heading1"/>
        <w:rPr>
          <w:color w:val="2A6099"/>
        </w:rPr>
      </w:pPr>
      <w:bookmarkStart w:id="5" w:name="__RefHeading___Toc1999_121261670"/>
      <w:bookmarkEnd w:id="5"/>
      <w:r>
        <w:rPr>
          <w:color w:val="2A6099"/>
        </w:rPr>
        <w:t>2. Key Objectives</w:t>
      </w:r>
    </w:p>
    <w:p>
      <w:pPr>
        <w:pStyle w:val="Normal"/>
        <w:rPr>
          <w:rFonts w:ascii="Calibri" w:hAnsi="Calibri" w:cs="Calibri"/>
        </w:rPr>
      </w:pPr>
      <w:r>
        <w:rPr>
          <w:rFonts w:cs="Calibri" w:ascii="Calibri" w:hAnsi="Calibri"/>
        </w:rPr>
        <w:t>The primary objectives of this performance test were:</w:t>
      </w:r>
    </w:p>
    <w:p>
      <w:pPr>
        <w:pStyle w:val="Normal"/>
        <w:numPr>
          <w:ilvl w:val="0"/>
          <w:numId w:val="8"/>
        </w:numPr>
        <w:jc w:val="both"/>
        <w:rPr>
          <w:rFonts w:ascii="Calibri" w:hAnsi="Calibri" w:cs="Calibri"/>
        </w:rPr>
      </w:pPr>
      <w:r>
        <w:rPr>
          <w:rFonts w:cs="Calibri" w:ascii="Calibri" w:hAnsi="Calibri"/>
        </w:rPr>
        <w:t>To evaluate the application’s stability and responsiveness for different load levels.</w:t>
      </w:r>
    </w:p>
    <w:p>
      <w:pPr>
        <w:pStyle w:val="Normal"/>
        <w:numPr>
          <w:ilvl w:val="0"/>
          <w:numId w:val="8"/>
        </w:numPr>
        <w:jc w:val="both"/>
        <w:rPr>
          <w:rFonts w:ascii="Calibri" w:hAnsi="Calibri" w:cs="Calibri"/>
        </w:rPr>
      </w:pPr>
      <w:r>
        <w:rPr>
          <w:rFonts w:cs="Calibri" w:ascii="Calibri" w:hAnsi="Calibri"/>
        </w:rPr>
        <w:t>To verify that each transaction can meet its SLA requirements in each load scenario.</w:t>
      </w:r>
    </w:p>
    <w:p>
      <w:pPr>
        <w:pStyle w:val="Normal"/>
        <w:numPr>
          <w:ilvl w:val="0"/>
          <w:numId w:val="8"/>
        </w:numPr>
        <w:jc w:val="both"/>
        <w:rPr>
          <w:rFonts w:ascii="Calibri" w:hAnsi="Calibri" w:cs="Calibri"/>
        </w:rPr>
      </w:pPr>
      <w:r>
        <w:rPr>
          <w:rFonts w:cs="Calibri" w:ascii="Calibri" w:hAnsi="Calibri"/>
        </w:rPr>
        <w:t>To identify and analyse any bottlenecks that could impact performance under increasing load levels and provide recommendations.</w:t>
      </w:r>
    </w:p>
    <w:p>
      <w:pPr>
        <w:pStyle w:val="Normal"/>
        <w:numPr>
          <w:ilvl w:val="0"/>
          <w:numId w:val="8"/>
        </w:numPr>
        <w:jc w:val="both"/>
        <w:rPr>
          <w:rFonts w:ascii="Calibri" w:hAnsi="Calibri" w:cs="Calibri"/>
        </w:rPr>
      </w:pPr>
      <w:r>
        <w:rPr>
          <w:rFonts w:cs="Calibri" w:ascii="Calibri" w:hAnsi="Calibri"/>
        </w:rPr>
        <w:t>Identify key performance indicators (KPIs), such as response time, throughput, CPU usage, memory usage, and errors.</w:t>
      </w:r>
    </w:p>
    <w:p>
      <w:pPr>
        <w:pStyle w:val="Heading1"/>
        <w:rPr>
          <w:color w:val="2A6099"/>
        </w:rPr>
      </w:pPr>
      <w:bookmarkStart w:id="6" w:name="__RefHeading___Toc2001_121261670"/>
      <w:bookmarkEnd w:id="6"/>
      <w:r>
        <w:rPr>
          <w:color w:val="2A6099"/>
        </w:rPr>
        <w:t>3. Test Environment</w:t>
      </w:r>
    </w:p>
    <w:p>
      <w:pPr>
        <w:pStyle w:val="Normal"/>
        <w:rPr>
          <w:color w:val="2A6099"/>
        </w:rPr>
      </w:pPr>
      <w:r>
        <w:rPr>
          <w:color w:val="2A6099"/>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208395" cy="4994910"/>
            <wp:effectExtent l="0" t="0" r="0" b="0"/>
            <wp:wrapSquare wrapText="largest"/>
            <wp:docPr id="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
                    <pic:cNvPicPr>
                      <a:picLocks noChangeAspect="1" noChangeArrowheads="1"/>
                    </pic:cNvPicPr>
                  </pic:nvPicPr>
                  <pic:blipFill>
                    <a:blip r:embed="rId2"/>
                    <a:stretch>
                      <a:fillRect/>
                    </a:stretch>
                  </pic:blipFill>
                  <pic:spPr bwMode="auto">
                    <a:xfrm>
                      <a:off x="0" y="0"/>
                      <a:ext cx="6208395" cy="4994910"/>
                    </a:xfrm>
                    <a:prstGeom prst="rect">
                      <a:avLst/>
                    </a:prstGeom>
                    <a:noFill/>
                  </pic:spPr>
                </pic:pic>
              </a:graphicData>
            </a:graphic>
          </wp:anchor>
        </w:drawing>
      </w:r>
    </w:p>
    <w:p>
      <w:pPr>
        <w:pStyle w:val="Heading2"/>
        <w:rPr/>
      </w:pPr>
      <w:r>
        <w:rPr/>
      </w:r>
    </w:p>
    <w:p>
      <w:pPr>
        <w:pStyle w:val="Normal"/>
        <w:rPr/>
      </w:pPr>
      <w:r>
        <w:rPr/>
      </w:r>
      <w:bookmarkStart w:id="7" w:name="__RefHeading___Toc2003_121261670"/>
      <w:bookmarkEnd w:id="7"/>
    </w:p>
    <w:tbl>
      <w:tblPr>
        <w:tblW w:w="983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17"/>
        <w:gridCol w:w="4918"/>
      </w:tblGrid>
      <w:tr>
        <w:trPr/>
        <w:tc>
          <w:tcPr>
            <w:tcW w:w="4917" w:type="dxa"/>
            <w:tcBorders>
              <w:top w:val="single" w:sz="6" w:space="0" w:color="000000"/>
              <w:start w:val="single" w:sz="6" w:space="0" w:color="000000"/>
              <w:bottom w:val="single" w:sz="6" w:space="0" w:color="000000"/>
              <w:end w:val="single" w:sz="6" w:space="0" w:color="000000"/>
            </w:tcBorders>
            <w:shd w:fill="F2F2F2" w:val="clear"/>
          </w:tcPr>
          <w:p>
            <w:pPr>
              <w:pStyle w:val="Normal"/>
              <w:spacing w:before="0" w:after="80"/>
              <w:jc w:val="center"/>
              <w:rPr/>
            </w:pPr>
            <w:r>
              <w:rPr/>
              <w:t>Nodes</w:t>
            </w:r>
          </w:p>
        </w:tc>
        <w:tc>
          <w:tcPr>
            <w:tcW w:w="4918" w:type="dxa"/>
            <w:tcBorders>
              <w:top w:val="single" w:sz="6" w:space="0" w:color="000000"/>
              <w:start w:val="single" w:sz="6" w:space="0" w:color="000000"/>
              <w:bottom w:val="single" w:sz="6" w:space="0" w:color="000000"/>
              <w:end w:val="single" w:sz="6" w:space="0" w:color="000000"/>
            </w:tcBorders>
            <w:shd w:fill="F2F2F2" w:val="clear"/>
          </w:tcPr>
          <w:p>
            <w:pPr>
              <w:pStyle w:val="Normal"/>
              <w:spacing w:before="0" w:after="80"/>
              <w:jc w:val="center"/>
              <w:rPr/>
            </w:pPr>
            <w:r>
              <w:rPr/>
              <w:t>IP</w:t>
            </w:r>
          </w:p>
        </w:tc>
      </w:tr>
      <w:tr>
        <w:trPr/>
        <w:tc>
          <w:tcPr>
            <w:tcW w:w="4917"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Calibri" w:hAnsi="Calibri" w:cs="Calibri"/>
              </w:rPr>
            </w:pPr>
            <w:r>
              <w:rPr>
                <w:rFonts w:cs="Calibri" w:ascii="Calibri" w:hAnsi="Calibri"/>
              </w:rPr>
              <w:t>Switch Nodes</w:t>
            </w:r>
          </w:p>
        </w:tc>
        <w:tc>
          <w:tcPr>
            <w:tcW w:w="4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Calibri" w:hAnsi="Calibri" w:cs="Calibri"/>
              </w:rPr>
            </w:pPr>
            <w:r>
              <w:rPr>
                <w:rFonts w:cs="Calibri" w:ascii="Calibri" w:hAnsi="Calibri"/>
              </w:rPr>
              <w:t>10.</w:t>
            </w:r>
            <w:r>
              <w:rPr>
                <w:rFonts w:cs="Calibri" w:ascii="Calibri" w:hAnsi="Calibri"/>
              </w:rPr>
              <w:t>XXX</w:t>
            </w:r>
            <w:r>
              <w:rPr>
                <w:rFonts w:cs="Calibri" w:ascii="Calibri" w:hAnsi="Calibri"/>
              </w:rPr>
              <w:t>.</w:t>
            </w:r>
            <w:r>
              <w:rPr>
                <w:rFonts w:cs="Calibri" w:ascii="Calibri" w:hAnsi="Calibri"/>
              </w:rPr>
              <w:t>XXX</w:t>
            </w:r>
            <w:r>
              <w:rPr>
                <w:rFonts w:cs="Calibri" w:ascii="Calibri" w:hAnsi="Calibri"/>
              </w:rPr>
              <w:t>.</w:t>
            </w:r>
            <w:r>
              <w:rPr>
                <w:rFonts w:cs="Calibri" w:ascii="Calibri" w:hAnsi="Calibri"/>
              </w:rPr>
              <w:t>XX</w:t>
            </w:r>
          </w:p>
        </w:tc>
      </w:tr>
      <w:tr>
        <w:trPr/>
        <w:tc>
          <w:tcPr>
            <w:tcW w:w="491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Calibri" w:hAnsi="Calibri" w:cs="Calibri"/>
              </w:rPr>
            </w:pPr>
            <w:r>
              <w:rPr>
                <w:rFonts w:cs="Calibri" w:ascii="Calibri" w:hAnsi="Calibri"/>
              </w:rPr>
            </w:r>
          </w:p>
        </w:tc>
        <w:tc>
          <w:tcPr>
            <w:tcW w:w="4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Calibri" w:hAnsi="Calibri" w:cs="Calibri"/>
              </w:rPr>
            </w:pPr>
            <w:r>
              <w:rPr>
                <w:rFonts w:cs="Calibri" w:ascii="Calibri" w:hAnsi="Calibri"/>
              </w:rPr>
              <w:t>10</w:t>
            </w:r>
            <w:r>
              <w:rPr>
                <w:rFonts w:cs="Calibri" w:ascii="Calibri" w:hAnsi="Calibri"/>
              </w:rPr>
              <w:t>.XXX.XXX.XX</w:t>
            </w:r>
          </w:p>
        </w:tc>
      </w:tr>
      <w:tr>
        <w:trPr>
          <w:trHeight w:val="250" w:hRule="atLeast"/>
        </w:trPr>
        <w:tc>
          <w:tcPr>
            <w:tcW w:w="4917"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Calibri" w:hAnsi="Calibri" w:cs="Calibri"/>
              </w:rPr>
            </w:pPr>
            <w:r>
              <w:rPr>
                <w:rFonts w:cs="Calibri" w:ascii="Calibri" w:hAnsi="Calibri"/>
              </w:rPr>
              <w:t>Load Balancer</w:t>
            </w:r>
          </w:p>
        </w:tc>
        <w:tc>
          <w:tcPr>
            <w:tcW w:w="4918"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Calibri" w:hAnsi="Calibri" w:cs="Calibri"/>
              </w:rPr>
            </w:pPr>
            <w:r>
              <w:rPr>
                <w:rFonts w:cs="Calibri" w:ascii="Calibri" w:hAnsi="Calibri"/>
              </w:rPr>
              <w:t>10.</w:t>
            </w:r>
            <w:r>
              <w:rPr>
                <w:rFonts w:cs="Calibri" w:ascii="Calibri" w:hAnsi="Calibri"/>
              </w:rPr>
              <w:t>XXX</w:t>
            </w:r>
            <w:r>
              <w:rPr>
                <w:rFonts w:cs="Calibri" w:ascii="Calibri" w:hAnsi="Calibri"/>
              </w:rPr>
              <w:t>.</w:t>
            </w:r>
            <w:r>
              <w:rPr>
                <w:rFonts w:cs="Calibri" w:ascii="Calibri" w:hAnsi="Calibri"/>
              </w:rPr>
              <w:t>XXX</w:t>
            </w:r>
            <w:r>
              <w:rPr>
                <w:rFonts w:cs="Calibri" w:ascii="Calibri" w:hAnsi="Calibri"/>
              </w:rPr>
              <w:t>.</w:t>
            </w:r>
            <w:r>
              <w:rPr>
                <w:rFonts w:cs="Calibri" w:ascii="Calibri" w:hAnsi="Calibri"/>
              </w:rPr>
              <w:t>XX</w:t>
            </w:r>
          </w:p>
        </w:tc>
      </w:tr>
      <w:tr>
        <w:trPr>
          <w:trHeight w:val="256" w:hRule="atLeast"/>
        </w:trPr>
        <w:tc>
          <w:tcPr>
            <w:tcW w:w="4917"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pacing w:before="0" w:after="80"/>
              <w:jc w:val="center"/>
              <w:rPr>
                <w:rFonts w:ascii="Calibri" w:hAnsi="Calibri" w:cs="Calibri"/>
              </w:rPr>
            </w:pPr>
            <w:r>
              <w:rPr>
                <w:rFonts w:cs="Calibri" w:ascii="Calibri" w:hAnsi="Calibri"/>
              </w:rPr>
            </w:r>
          </w:p>
        </w:tc>
        <w:tc>
          <w:tcPr>
            <w:tcW w:w="4918" w:type="dxa"/>
            <w:tcBorders>
              <w:start w:val="single" w:sz="6" w:space="0" w:color="000000"/>
              <w:bottom w:val="single" w:sz="6" w:space="0" w:color="000000"/>
              <w:end w:val="single" w:sz="6" w:space="0" w:color="000000"/>
            </w:tcBorders>
            <w:vAlign w:val="center"/>
          </w:tcPr>
          <w:p>
            <w:pPr>
              <w:pStyle w:val="Normal"/>
              <w:spacing w:before="0" w:after="80"/>
              <w:jc w:val="center"/>
              <w:rPr>
                <w:rFonts w:ascii="Calibri" w:hAnsi="Calibri" w:cs="Calibri"/>
              </w:rPr>
            </w:pPr>
            <w:r>
              <w:rPr>
                <w:rFonts w:cs="Calibri" w:ascii="Calibri" w:hAnsi="Calibri"/>
              </w:rPr>
              <w:t>10.</w:t>
            </w:r>
            <w:r>
              <w:rPr>
                <w:rFonts w:cs="Calibri" w:ascii="Calibri" w:hAnsi="Calibri"/>
              </w:rPr>
              <w:t>XXX</w:t>
            </w:r>
            <w:r>
              <w:rPr>
                <w:rFonts w:cs="Calibri" w:ascii="Calibri" w:hAnsi="Calibri"/>
              </w:rPr>
              <w:t>.</w:t>
            </w:r>
            <w:r>
              <w:rPr>
                <w:rFonts w:cs="Calibri" w:ascii="Calibri" w:hAnsi="Calibri"/>
              </w:rPr>
              <w:t>XXX</w:t>
            </w:r>
            <w:r>
              <w:rPr>
                <w:rFonts w:cs="Calibri" w:ascii="Calibri" w:hAnsi="Calibri"/>
              </w:rPr>
              <w:t>.</w:t>
            </w:r>
            <w:r>
              <w:rPr>
                <w:rFonts w:cs="Calibri" w:ascii="Calibri" w:hAnsi="Calibri"/>
              </w:rPr>
              <w:t>XX</w:t>
            </w:r>
          </w:p>
        </w:tc>
      </w:tr>
    </w:tbl>
    <w:p>
      <w:pPr>
        <w:pStyle w:val="Heading2"/>
        <w:rPr/>
      </w:pPr>
      <w:r>
        <w:rPr/>
      </w:r>
    </w:p>
    <w:p>
      <w:pPr>
        <w:pStyle w:val="Heading1"/>
        <w:rPr>
          <w:color w:val="2A6099"/>
        </w:rPr>
      </w:pPr>
      <w:bookmarkStart w:id="8" w:name="__RefHeading___Toc2013_121261670"/>
      <w:bookmarkEnd w:id="8"/>
      <w:r>
        <w:rPr>
          <w:color w:val="2A6099"/>
        </w:rPr>
        <w:t>4</w:t>
      </w:r>
      <w:r>
        <w:rPr>
          <w:color w:val="2A6099"/>
        </w:rPr>
        <w:t>. Test Scope, Metrics &amp; KPIs</w:t>
      </w:r>
    </w:p>
    <w:p>
      <w:pPr>
        <w:pStyle w:val="Normal"/>
        <w:jc w:val="both"/>
        <w:rPr>
          <w:rFonts w:ascii="Calibri" w:hAnsi="Calibri" w:cs="Calibri"/>
        </w:rPr>
      </w:pPr>
      <w:r>
        <w:rPr>
          <w:rFonts w:cs="Calibri" w:ascii="Calibri" w:hAnsi="Calibri"/>
        </w:rPr>
        <w:t xml:space="preserve">Load testing scenarios simulated actual user behaviour for the three critical transactions, under each of the </w:t>
      </w:r>
      <w:r>
        <w:rPr>
          <w:rFonts w:cs="Calibri" w:ascii="Calibri" w:hAnsi="Calibri"/>
          <w:b/>
          <w:bCs/>
        </w:rPr>
        <w:t>Standard and heavy loads</w:t>
      </w:r>
      <w:r>
        <w:rPr>
          <w:rFonts w:cs="Calibri" w:ascii="Calibri" w:hAnsi="Calibri"/>
        </w:rPr>
        <w:t>.</w:t>
      </w:r>
      <w:r>
        <w:rPr>
          <w:rFonts w:cs="Calibri" w:ascii="Calibri" w:hAnsi="Calibri"/>
        </w:rPr>
        <w:drawing>
          <wp:inline distT="0" distB="0" distL="0" distR="0">
            <wp:extent cx="6771640" cy="779780"/>
            <wp:effectExtent l="0" t="0" r="0" b="0"/>
            <wp:docPr id="2"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Copy 1"/>
                    <pic:cNvPicPr>
                      <a:picLocks noChangeAspect="1" noChangeArrowheads="1"/>
                    </pic:cNvPicPr>
                  </pic:nvPicPr>
                  <pic:blipFill>
                    <a:blip r:embed="rId3"/>
                    <a:stretch>
                      <a:fillRect/>
                    </a:stretch>
                  </pic:blipFill>
                  <pic:spPr bwMode="auto">
                    <a:xfrm>
                      <a:off x="0" y="0"/>
                      <a:ext cx="6771640" cy="779780"/>
                    </a:xfrm>
                    <a:prstGeom prst="rect">
                      <a:avLst/>
                    </a:prstGeom>
                    <a:noFill/>
                  </pic:spPr>
                </pic:pic>
              </a:graphicData>
            </a:graphic>
          </wp:inline>
        </w:drawing>
      </w:r>
    </w:p>
    <w:p>
      <w:pPr>
        <w:pStyle w:val="Normal"/>
        <w:jc w:val="both"/>
        <w:rPr>
          <w:rFonts w:ascii="Calibri" w:hAnsi="Calibri" w:cs="Calibri"/>
        </w:rPr>
      </w:pPr>
      <w:r>
        <w:rPr>
          <w:rFonts w:cs="Calibri" w:ascii="Calibri" w:hAnsi="Calibri"/>
        </w:rPr>
        <w:drawing>
          <wp:inline distT="0" distB="0" distL="0" distR="0">
            <wp:extent cx="6758940" cy="11303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6758940" cy="113030"/>
                    </a:xfrm>
                    <a:prstGeom prst="rect">
                      <a:avLst/>
                    </a:prstGeom>
                    <a:noFill/>
                  </pic:spPr>
                </pic:pic>
              </a:graphicData>
            </a:graphic>
          </wp:inline>
        </w:drawing>
      </w:r>
    </w:p>
    <w:p>
      <w:pPr>
        <w:pStyle w:val="Heading2"/>
        <w:rPr/>
      </w:pPr>
      <w:r>
        <w:rPr/>
      </w:r>
    </w:p>
    <w:p>
      <w:pPr>
        <w:pStyle w:val="Heading1"/>
        <w:rPr>
          <w:rFonts w:ascii="Calibri" w:hAnsi="Calibri" w:cs="Calibri"/>
          <w:color w:val="2A6099"/>
        </w:rPr>
      </w:pPr>
      <w:bookmarkStart w:id="9" w:name="__RefHeading___Toc2023_121261670COPY_IS_"/>
      <w:bookmarkEnd w:id="9"/>
      <w:r>
        <w:rPr>
          <w:rFonts w:cs="Calibri"/>
          <w:color w:val="2A6099"/>
        </w:rPr>
        <w:t>5</w:t>
      </w:r>
      <w:r>
        <w:rPr>
          <w:rFonts w:cs="Calibri"/>
          <w:color w:val="2A6099"/>
        </w:rPr>
        <w:t xml:space="preserve">. </w:t>
      </w:r>
      <w:r>
        <w:rPr>
          <w:rFonts w:cs="Calibri"/>
          <w:color w:val="2A6099"/>
        </w:rPr>
        <w:t>Workload Matrix</w:t>
      </w:r>
    </w:p>
    <w:p>
      <w:pPr>
        <w:pStyle w:val="Normal"/>
        <w:rPr>
          <w:rFonts w:ascii="Calibri" w:hAnsi="Calibri" w:cs="Calibri"/>
          <w:b w:val="false"/>
          <w:bCs w:val="false"/>
          <w:color w:val="000000"/>
        </w:rPr>
      </w:pPr>
      <w:r>
        <w:rPr>
          <w:rFonts w:cs="Calibri" w:ascii="Calibri" w:hAnsi="Calibri"/>
          <w:b w:val="false"/>
          <w:bCs w:val="false"/>
          <w:color w:val="000000"/>
        </w:rPr>
        <w:t>The workload matrix outlines the user load distribution across test scenarios and timeframes.</w:t>
      </w:r>
    </w:p>
    <w:p>
      <w:pPr>
        <w:pStyle w:val="Normal"/>
        <w:rPr>
          <w:rFonts w:ascii="Calibri" w:hAnsi="Calibri" w:cs="Calibri"/>
          <w:b w:val="false"/>
          <w:bCs w:val="false"/>
          <w:color w:val="000000"/>
        </w:rPr>
      </w:pPr>
      <w:r>
        <w:rPr>
          <w:rFonts w:cs="Calibri" w:ascii="Calibri" w:hAnsi="Calibri"/>
          <w:b w:val="false"/>
          <w:bCs w:val="false"/>
          <w:color w:val="000000"/>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6208395" cy="1539875"/>
            <wp:effectExtent l="0" t="0" r="0" b="0"/>
            <wp:wrapSquare wrapText="largest"/>
            <wp:docPr id="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
                    <pic:cNvPicPr>
                      <a:picLocks noChangeAspect="1" noChangeArrowheads="1"/>
                    </pic:cNvPicPr>
                  </pic:nvPicPr>
                  <pic:blipFill>
                    <a:blip r:embed="rId5"/>
                    <a:stretch>
                      <a:fillRect/>
                    </a:stretch>
                  </pic:blipFill>
                  <pic:spPr bwMode="auto">
                    <a:xfrm>
                      <a:off x="0" y="0"/>
                      <a:ext cx="6208395" cy="1539875"/>
                    </a:xfrm>
                    <a:prstGeom prst="rect">
                      <a:avLst/>
                    </a:prstGeom>
                    <a:noFill/>
                  </pic:spPr>
                </pic:pic>
              </a:graphicData>
            </a:graphic>
          </wp:anchor>
        </w:drawing>
      </w:r>
    </w:p>
    <w:p>
      <w:pPr>
        <w:pStyle w:val="Heading1"/>
        <w:rPr>
          <w:rFonts w:ascii="Calibri" w:hAnsi="Calibri" w:cs="Calibri"/>
          <w:color w:val="2A6099"/>
        </w:rPr>
      </w:pPr>
      <w:bookmarkStart w:id="10" w:name="__RefHeading___Toc5203_121261670"/>
      <w:bookmarkEnd w:id="10"/>
      <w:r>
        <w:rPr>
          <w:rFonts w:cs="Calibri"/>
          <w:color w:val="2A6099"/>
        </w:rPr>
        <w:t xml:space="preserve">6. </w:t>
      </w:r>
      <w:bookmarkStart w:id="11" w:name="_Toc189654783"/>
      <w:r>
        <w:rPr>
          <w:rFonts w:cs="Calibri"/>
          <w:color w:val="2A6099"/>
        </w:rPr>
        <w:t>Test Results and Analysis –</w:t>
      </w:r>
      <w:r>
        <w:rPr>
          <w:rFonts w:cs="Calibri"/>
          <w:color w:val="2A6099"/>
        </w:rPr>
        <w:t xml:space="preserve"> S</w:t>
      </w:r>
      <w:r>
        <w:rPr>
          <w:rFonts w:cs="Calibri"/>
          <w:color w:val="2A6099"/>
        </w:rPr>
        <w:t>TATUS –</w:t>
      </w:r>
      <w:r>
        <w:rPr>
          <w:rFonts w:cs="Calibri"/>
          <w:b/>
          <w:bCs/>
          <w:color w:themeColor="accent6" w:themeShade="bf" w:val="3A7C22"/>
        </w:rPr>
        <w:t xml:space="preserve"> </w:t>
      </w:r>
      <w:r>
        <w:rPr>
          <w:rFonts w:cs="Calibri"/>
          <w:b/>
          <w:bCs/>
          <w:color w:val="5EB91E"/>
        </w:rPr>
        <w:t>gree</w:t>
      </w:r>
      <w:r>
        <w:rPr>
          <w:rFonts w:cs="Calibri"/>
          <w:color w:val="5EB91E"/>
        </w:rPr>
        <w:t>n</w:t>
      </w:r>
      <w:bookmarkEnd w:id="11"/>
    </w:p>
    <w:p>
      <w:pPr>
        <w:pStyle w:val="Normal"/>
        <w:rPr>
          <w:rFonts w:ascii="Calibri" w:hAnsi="Calibri"/>
        </w:rPr>
      </w:pPr>
      <w:r>
        <w:rPr>
          <w:rFonts w:ascii="Calibri" w:hAnsi="Calibri"/>
        </w:rPr>
        <w:t>As planned the performance test execution was carried out in 2 rounds with for standard and heavy load.</w:t>
      </w:r>
    </w:p>
    <w:p>
      <w:pPr>
        <w:pStyle w:val="Heading2"/>
        <w:rPr/>
      </w:pPr>
      <w:bookmarkStart w:id="12" w:name="__RefHeading___Toc3831_121261670"/>
      <w:bookmarkEnd w:id="12"/>
      <w:r>
        <w:rPr>
          <w:rFonts w:cs="Calibri"/>
        </w:rPr>
        <w:br/>
        <w:t xml:space="preserve"> </w:t>
      </w:r>
      <w:r>
        <w:rPr>
          <w:rFonts w:cs="Calibri"/>
          <w:color w:val="2A6099"/>
        </w:rPr>
        <w:t>6</w:t>
      </w:r>
      <w:r>
        <w:rPr>
          <w:rFonts w:cs="Calibri"/>
          <w:color w:val="2A6099"/>
          <w:sz w:val="24"/>
          <w:szCs w:val="24"/>
        </w:rPr>
        <w:t xml:space="preserve">.1 </w:t>
      </w:r>
      <w:bookmarkStart w:id="13" w:name="_Toc189654784"/>
      <w:r>
        <w:rPr>
          <w:rFonts w:cs="Calibri"/>
          <w:color w:val="2A6099"/>
          <w:sz w:val="24"/>
          <w:szCs w:val="24"/>
        </w:rPr>
        <w:t>S1 – Standard Load:</w:t>
      </w:r>
      <w:bookmarkEnd w:id="13"/>
      <w:r>
        <w:rPr>
          <w:rFonts w:cs="Calibri"/>
          <w:color w:val="2A6099"/>
          <w:sz w:val="24"/>
          <w:szCs w:val="24"/>
        </w:rPr>
        <w:t xml:space="preserve"> </w:t>
      </w:r>
    </w:p>
    <w:tbl>
      <w:tblPr>
        <w:tblW w:w="10100" w:type="dxa"/>
        <w:jc w:val="start"/>
        <w:tblInd w:w="118" w:type="dxa"/>
        <w:tblLayout w:type="fixed"/>
        <w:tblCellMar>
          <w:top w:w="0" w:type="dxa"/>
          <w:start w:w="108" w:type="dxa"/>
          <w:bottom w:w="0" w:type="dxa"/>
          <w:end w:w="108" w:type="dxa"/>
        </w:tblCellMar>
        <w:tblLook w:val="04a0" w:firstRow="1" w:noVBand="1" w:lastRow="0" w:firstColumn="1" w:lastColumn="0" w:noHBand="0"/>
      </w:tblPr>
      <w:tblGrid>
        <w:gridCol w:w="1833"/>
        <w:gridCol w:w="3051"/>
        <w:gridCol w:w="1763"/>
        <w:gridCol w:w="3453"/>
      </w:tblGrid>
      <w:tr>
        <w:trPr>
          <w:trHeight w:val="330" w:hRule="atLeast"/>
        </w:trPr>
        <w:tc>
          <w:tcPr>
            <w:tcW w:w="10100" w:type="dxa"/>
            <w:gridSpan w:val="4"/>
            <w:tcBorders>
              <w:top w:val="single" w:sz="8" w:space="0" w:color="000000"/>
              <w:start w:val="single" w:sz="8" w:space="0" w:color="000000"/>
              <w:bottom w:val="single" w:sz="8" w:space="0" w:color="000000"/>
              <w:end w:val="single" w:sz="8" w:space="0" w:color="000000"/>
            </w:tcBorders>
            <w:shd w:color="000000" w:fill="305496" w:val="clear"/>
            <w:vAlign w:val="center"/>
          </w:tcPr>
          <w:p>
            <w:pPr>
              <w:pStyle w:val="Normal"/>
              <w:spacing w:lineRule="auto" w:line="240" w:before="0" w:after="0"/>
              <w:jc w:val="center"/>
              <w:rPr>
                <w:rFonts w:ascii="Calibri" w:hAnsi="Calibri" w:eastAsia="Times New Roman" w:cs="Calibri"/>
                <w:b/>
                <w:bCs/>
                <w:color w:val="FFFFFF"/>
                <w:sz w:val="22"/>
                <w:szCs w:val="22"/>
                <w:lang w:eastAsia="en-IN"/>
                <w14:ligatures w14:val="none"/>
              </w:rPr>
            </w:pPr>
            <w:r>
              <w:rPr>
                <w:rFonts w:eastAsia="Times New Roman" w:cs="Calibri" w:ascii="Calibri" w:hAnsi="Calibri"/>
                <w:b/>
                <w:bCs/>
                <w:color w:val="FFFFFF"/>
                <w:sz w:val="22"/>
                <w:szCs w:val="22"/>
                <w:lang w:eastAsia="en-IN"/>
                <w14:ligatures w14:val="none"/>
              </w:rPr>
              <w:t>S1 (4/9/25 12.18PM-2.28PM)</w:t>
            </w:r>
          </w:p>
        </w:tc>
      </w:tr>
      <w:tr>
        <w:trPr>
          <w:trHeight w:val="300" w:hRule="atLeast"/>
        </w:trPr>
        <w:tc>
          <w:tcPr>
            <w:tcW w:w="1833" w:type="dxa"/>
            <w:tcBorders>
              <w:start w:val="single" w:sz="8" w:space="0" w:color="000000"/>
              <w:bottom w:val="single" w:sz="8" w:space="0" w:color="000000"/>
              <w:end w:val="single" w:sz="8" w:space="0" w:color="000000"/>
            </w:tcBorders>
            <w:shd w:color="000000" w:fill="BDD7EE" w:val="clear"/>
            <w:vAlign w:val="center"/>
          </w:tcPr>
          <w:p>
            <w:pPr>
              <w:pStyle w:val="Normal"/>
              <w:spacing w:lineRule="auto" w:line="240" w:before="0" w:after="0"/>
              <w:jc w:val="center"/>
              <w:rPr>
                <w:rFonts w:ascii="Calibri" w:hAnsi="Calibri" w:eastAsia="Times New Roman" w:cs="Calibri"/>
                <w:b/>
                <w:bCs/>
                <w:color w:val="000000"/>
                <w:sz w:val="22"/>
                <w:szCs w:val="22"/>
                <w:lang w:eastAsia="en-IN"/>
                <w14:ligatures w14:val="none"/>
              </w:rPr>
            </w:pPr>
            <w:r>
              <w:rPr>
                <w:rFonts w:eastAsia="Times New Roman" w:cs="Calibri" w:ascii="Calibri" w:hAnsi="Calibri"/>
                <w:b/>
                <w:bCs/>
                <w:color w:val="000000"/>
                <w:sz w:val="22"/>
                <w:szCs w:val="22"/>
                <w:lang w:eastAsia="en-IN"/>
                <w14:ligatures w14:val="none"/>
              </w:rPr>
              <w:t>Application</w:t>
            </w:r>
          </w:p>
        </w:tc>
        <w:tc>
          <w:tcPr>
            <w:tcW w:w="3051" w:type="dxa"/>
            <w:tcBorders>
              <w:bottom w:val="single" w:sz="8" w:space="0" w:color="000000"/>
              <w:end w:val="single" w:sz="8" w:space="0" w:color="000000"/>
            </w:tcBorders>
            <w:shd w:color="000000" w:fill="BDD7EE" w:val="clear"/>
            <w:vAlign w:val="center"/>
          </w:tcPr>
          <w:p>
            <w:pPr>
              <w:pStyle w:val="Normal"/>
              <w:spacing w:lineRule="auto" w:line="240" w:before="0" w:after="0"/>
              <w:jc w:val="center"/>
              <w:rPr>
                <w:rFonts w:ascii="Calibri" w:hAnsi="Calibri" w:eastAsia="Times New Roman" w:cs="Calibri"/>
                <w:b/>
                <w:bCs/>
                <w:color w:val="000000"/>
                <w:sz w:val="22"/>
                <w:szCs w:val="22"/>
                <w:lang w:eastAsia="en-IN"/>
                <w14:ligatures w14:val="none"/>
              </w:rPr>
            </w:pPr>
            <w:r>
              <w:rPr>
                <w:rFonts w:eastAsia="Times New Roman" w:cs="Calibri" w:ascii="Calibri" w:hAnsi="Calibri"/>
                <w:b/>
                <w:bCs/>
                <w:color w:val="000000"/>
                <w:sz w:val="22"/>
                <w:szCs w:val="22"/>
                <w:lang w:eastAsia="en-IN"/>
                <w14:ligatures w14:val="none"/>
              </w:rPr>
              <w:t>Transactions</w:t>
            </w:r>
          </w:p>
        </w:tc>
        <w:tc>
          <w:tcPr>
            <w:tcW w:w="1763" w:type="dxa"/>
            <w:tcBorders>
              <w:bottom w:val="single" w:sz="8" w:space="0" w:color="000000"/>
              <w:end w:val="single" w:sz="8" w:space="0" w:color="000000"/>
            </w:tcBorders>
            <w:shd w:color="000000" w:fill="BDD7EE" w:val="clear"/>
            <w:vAlign w:val="center"/>
          </w:tcPr>
          <w:p>
            <w:pPr>
              <w:pStyle w:val="Normal"/>
              <w:spacing w:lineRule="auto" w:line="240" w:before="0" w:after="0"/>
              <w:jc w:val="center"/>
              <w:rPr>
                <w:rFonts w:ascii="Calibri" w:hAnsi="Calibri" w:eastAsia="Times New Roman" w:cs="Calibri"/>
                <w:b/>
                <w:bCs/>
                <w:color w:val="000000"/>
                <w:sz w:val="22"/>
                <w:szCs w:val="22"/>
                <w:lang w:eastAsia="en-IN"/>
                <w14:ligatures w14:val="none"/>
              </w:rPr>
            </w:pPr>
            <w:r>
              <w:rPr>
                <w:rFonts w:eastAsia="Times New Roman" w:cs="Calibri" w:ascii="Calibri" w:hAnsi="Calibri"/>
                <w:b/>
                <w:bCs/>
                <w:color w:val="000000"/>
                <w:sz w:val="22"/>
                <w:szCs w:val="22"/>
                <w:lang w:eastAsia="en-IN"/>
                <w14:ligatures w14:val="none"/>
              </w:rPr>
              <w:t>Threads</w:t>
            </w:r>
          </w:p>
        </w:tc>
        <w:tc>
          <w:tcPr>
            <w:tcW w:w="3453" w:type="dxa"/>
            <w:tcBorders>
              <w:bottom w:val="single" w:sz="8" w:space="0" w:color="000000"/>
              <w:end w:val="single" w:sz="8" w:space="0" w:color="000000"/>
            </w:tcBorders>
            <w:shd w:color="000000" w:fill="BDD7EE" w:val="clear"/>
            <w:vAlign w:val="center"/>
          </w:tcPr>
          <w:p>
            <w:pPr>
              <w:pStyle w:val="Normal"/>
              <w:spacing w:lineRule="auto" w:line="240" w:before="0" w:after="0"/>
              <w:jc w:val="center"/>
              <w:rPr>
                <w:rFonts w:ascii="Calibri" w:hAnsi="Calibri" w:eastAsia="Times New Roman" w:cs="Calibri"/>
                <w:b/>
                <w:bCs/>
                <w:color w:val="000000"/>
                <w:sz w:val="22"/>
                <w:szCs w:val="22"/>
                <w:lang w:eastAsia="en-IN"/>
                <w14:ligatures w14:val="none"/>
              </w:rPr>
            </w:pPr>
            <w:r>
              <w:rPr>
                <w:rFonts w:eastAsia="Times New Roman" w:cs="Calibri" w:ascii="Calibri" w:hAnsi="Calibri"/>
                <w:b/>
                <w:bCs/>
                <w:color w:val="000000"/>
                <w:sz w:val="22"/>
                <w:szCs w:val="22"/>
                <w:lang w:eastAsia="en-IN"/>
                <w14:ligatures w14:val="none"/>
              </w:rPr>
              <w:t>Total Transactions</w:t>
            </w:r>
          </w:p>
        </w:tc>
      </w:tr>
      <w:tr>
        <w:trPr>
          <w:trHeight w:val="330" w:hRule="atLeast"/>
        </w:trPr>
        <w:tc>
          <w:tcPr>
            <w:tcW w:w="1833" w:type="dxa"/>
            <w:tcBorders>
              <w:start w:val="single" w:sz="8" w:space="0" w:color="000000"/>
              <w:bottom w:val="single" w:sz="8" w:space="0" w:color="000000"/>
              <w:end w:val="single" w:sz="8" w:space="0" w:color="000000"/>
            </w:tcBorders>
            <w:shd w:color="FFFFFF" w:fill="FFFFFF" w:val="clear"/>
            <w:vAlign w:val="center"/>
          </w:tcPr>
          <w:p>
            <w:pPr>
              <w:pStyle w:val="Normal"/>
              <w:spacing w:lineRule="auto" w:line="240" w:before="0" w:after="0"/>
              <w:jc w:val="center"/>
              <w:rPr>
                <w:rFonts w:ascii="Calibri" w:hAnsi="Calibri" w:eastAsia="Times New Roman" w:cs="Calibri"/>
                <w:color w:val="000000"/>
                <w:sz w:val="22"/>
                <w:szCs w:val="22"/>
                <w:lang w:eastAsia="en-IN"/>
                <w14:ligatures w14:val="none"/>
              </w:rPr>
            </w:pPr>
            <w:r>
              <w:rPr>
                <w:rFonts w:eastAsia="Times New Roman" w:cs="Calibri" w:ascii="Calibri" w:hAnsi="Calibri"/>
                <w:color w:val="000000"/>
                <w:sz w:val="22"/>
                <w:szCs w:val="22"/>
                <w:lang w:eastAsia="en-IN"/>
                <w14:ligatures w14:val="none"/>
              </w:rPr>
              <w:t>ECom</w:t>
            </w:r>
          </w:p>
        </w:tc>
        <w:tc>
          <w:tcPr>
            <w:tcW w:w="3051" w:type="dxa"/>
            <w:tcBorders>
              <w:bottom w:val="single" w:sz="8" w:space="0" w:color="000000"/>
              <w:end w:val="single" w:sz="8" w:space="0" w:color="000000"/>
            </w:tcBorders>
            <w:shd w:color="FFFFFF" w:fill="FFFFFF" w:val="clear"/>
            <w:vAlign w:val="center"/>
          </w:tcPr>
          <w:p>
            <w:pPr>
              <w:pStyle w:val="Normal"/>
              <w:spacing w:lineRule="auto" w:line="240" w:before="0" w:after="0"/>
              <w:jc w:val="center"/>
              <w:rPr>
                <w:rFonts w:ascii="Calibri" w:hAnsi="Calibri" w:eastAsia="Times New Roman" w:cs="Calibri"/>
                <w:b/>
                <w:bCs/>
                <w:color w:val="000000"/>
                <w:sz w:val="22"/>
                <w:szCs w:val="22"/>
                <w:lang w:eastAsia="en-IN"/>
                <w14:ligatures w14:val="none"/>
              </w:rPr>
            </w:pPr>
            <w:r>
              <w:rPr>
                <w:rFonts w:eastAsia="Times New Roman" w:cs="Calibri" w:ascii="Calibri" w:hAnsi="Calibri"/>
                <w:color w:val="000000"/>
                <w:lang w:eastAsia="en-IN"/>
                <w14:ligatures w14:val="none"/>
              </w:rPr>
              <w:t xml:space="preserve"> </w:t>
            </w:r>
            <w:r>
              <w:rPr>
                <w:rFonts w:eastAsia="Times New Roman" w:cs="Calibri" w:ascii="Calibri" w:hAnsi="Calibri"/>
                <w:color w:val="000000"/>
                <w:lang w:eastAsia="en-IN"/>
                <w14:ligatures w14:val="none"/>
              </w:rPr>
              <w:t>UAE Acquirer &amp; UAE Issuer (non-tokenized)</w:t>
            </w:r>
          </w:p>
        </w:tc>
        <w:tc>
          <w:tcPr>
            <w:tcW w:w="1763" w:type="dxa"/>
            <w:tcBorders>
              <w:bottom w:val="single" w:sz="8" w:space="0" w:color="000000"/>
              <w:end w:val="single" w:sz="8" w:space="0" w:color="000000"/>
            </w:tcBorders>
            <w:shd w:color="FFFFFF" w:fill="FFFFFF" w:val="clear"/>
            <w:vAlign w:val="center"/>
          </w:tcPr>
          <w:p>
            <w:pPr>
              <w:pStyle w:val="Normal"/>
              <w:spacing w:lineRule="auto" w:line="240" w:before="0" w:after="0"/>
              <w:jc w:val="center"/>
              <w:rPr>
                <w:rFonts w:ascii="Calibri" w:hAnsi="Calibri" w:eastAsia="Times New Roman" w:cs="Calibri"/>
                <w:color w:val="000000"/>
                <w:sz w:val="22"/>
                <w:szCs w:val="22"/>
                <w:lang w:eastAsia="en-IN"/>
                <w14:ligatures w14:val="none"/>
              </w:rPr>
            </w:pPr>
            <w:r>
              <w:rPr>
                <w:rFonts w:eastAsia="Times New Roman" w:cs="Calibri" w:ascii="Calibri" w:hAnsi="Calibri"/>
                <w:color w:val="000000"/>
                <w:sz w:val="22"/>
                <w:szCs w:val="22"/>
                <w:lang w:eastAsia="en-IN"/>
                <w14:ligatures w14:val="none"/>
              </w:rPr>
              <w:t>20</w:t>
            </w:r>
          </w:p>
        </w:tc>
        <w:tc>
          <w:tcPr>
            <w:tcW w:w="3453" w:type="dxa"/>
            <w:tcBorders>
              <w:bottom w:val="single" w:sz="8" w:space="0" w:color="000000"/>
              <w:end w:val="single" w:sz="8" w:space="0" w:color="000000"/>
            </w:tcBorders>
            <w:shd w:color="FFFFFF" w:fill="FFFFFF" w:val="clear"/>
            <w:vAlign w:val="center"/>
          </w:tcPr>
          <w:p>
            <w:pPr>
              <w:pStyle w:val="Normal"/>
              <w:spacing w:lineRule="auto" w:line="240" w:before="0" w:after="0"/>
              <w:jc w:val="center"/>
              <w:rPr>
                <w:rFonts w:ascii="Calibri" w:hAnsi="Calibri" w:eastAsia="Times New Roman" w:cs="Calibri"/>
                <w:color w:val="000000"/>
                <w:sz w:val="22"/>
                <w:szCs w:val="22"/>
                <w:lang w:eastAsia="en-IN"/>
                <w14:ligatures w14:val="none"/>
              </w:rPr>
            </w:pPr>
            <w:r>
              <w:rPr>
                <w:rFonts w:eastAsia="Times New Roman" w:cs="Calibri" w:ascii="Calibri" w:hAnsi="Calibri"/>
                <w:color w:val="000000"/>
                <w:sz w:val="22"/>
                <w:szCs w:val="22"/>
                <w:lang w:eastAsia="en-IN"/>
                <w14:ligatures w14:val="none"/>
              </w:rPr>
              <w:t>157485</w:t>
            </w:r>
          </w:p>
        </w:tc>
      </w:tr>
      <w:tr>
        <w:trPr>
          <w:trHeight w:val="330" w:hRule="atLeast"/>
        </w:trPr>
        <w:tc>
          <w:tcPr>
            <w:tcW w:w="4884" w:type="dxa"/>
            <w:gridSpan w:val="2"/>
            <w:tcBorders>
              <w:top w:val="single" w:sz="8" w:space="0" w:color="000000"/>
              <w:start w:val="single" w:sz="8" w:space="0" w:color="000000"/>
              <w:bottom w:val="single" w:sz="8" w:space="0" w:color="000000"/>
              <w:end w:val="single" w:sz="8" w:space="0" w:color="000000"/>
            </w:tcBorders>
            <w:shd w:color="000000" w:fill="DDEBF7" w:val="clear"/>
            <w:vAlign w:val="center"/>
          </w:tcPr>
          <w:p>
            <w:pPr>
              <w:pStyle w:val="Normal"/>
              <w:spacing w:lineRule="auto" w:line="240" w:before="0" w:after="0"/>
              <w:jc w:val="center"/>
              <w:rPr>
                <w:rFonts w:ascii="Calibri" w:hAnsi="Calibri" w:eastAsia="Times New Roman" w:cs="Calibri"/>
                <w:b/>
                <w:bCs/>
                <w:color w:val="000000"/>
                <w:sz w:val="22"/>
                <w:szCs w:val="22"/>
                <w:lang w:eastAsia="en-IN"/>
                <w14:ligatures w14:val="none"/>
              </w:rPr>
            </w:pPr>
            <w:r>
              <w:rPr>
                <w:rFonts w:eastAsia="Times New Roman" w:cs="Calibri" w:ascii="Calibri" w:hAnsi="Calibri"/>
                <w:b/>
                <w:bCs/>
                <w:color w:val="000000"/>
                <w:sz w:val="22"/>
                <w:szCs w:val="22"/>
                <w:lang w:eastAsia="en-IN"/>
                <w14:ligatures w14:val="none"/>
              </w:rPr>
              <w:t>Total</w:t>
            </w:r>
          </w:p>
        </w:tc>
        <w:tc>
          <w:tcPr>
            <w:tcW w:w="1763" w:type="dxa"/>
            <w:tcBorders>
              <w:bottom w:val="single" w:sz="8" w:space="0" w:color="000000"/>
              <w:end w:val="single" w:sz="8" w:space="0" w:color="000000"/>
            </w:tcBorders>
            <w:shd w:color="FFFFFF" w:fill="FFFFFF" w:val="clear"/>
            <w:vAlign w:val="center"/>
          </w:tcPr>
          <w:p>
            <w:pPr>
              <w:pStyle w:val="Normal"/>
              <w:spacing w:lineRule="auto" w:line="240" w:before="0" w:after="0"/>
              <w:jc w:val="center"/>
              <w:rPr>
                <w:rFonts w:ascii="Calibri" w:hAnsi="Calibri" w:eastAsia="Times New Roman" w:cs="Calibri"/>
                <w:b/>
                <w:bCs/>
                <w:color w:val="000000"/>
                <w:sz w:val="22"/>
                <w:szCs w:val="22"/>
                <w:lang w:eastAsia="en-IN"/>
                <w14:ligatures w14:val="none"/>
              </w:rPr>
            </w:pPr>
            <w:r>
              <w:rPr>
                <w:rFonts w:eastAsia="Times New Roman" w:cs="Calibri" w:ascii="Calibri" w:hAnsi="Calibri"/>
                <w:b/>
                <w:bCs/>
                <w:color w:val="000000"/>
                <w:sz w:val="22"/>
                <w:szCs w:val="22"/>
                <w:lang w:eastAsia="en-IN"/>
                <w14:ligatures w14:val="none"/>
              </w:rPr>
              <w:t>20</w:t>
            </w:r>
          </w:p>
        </w:tc>
        <w:tc>
          <w:tcPr>
            <w:tcW w:w="3453" w:type="dxa"/>
            <w:tcBorders>
              <w:bottom w:val="single" w:sz="8" w:space="0" w:color="000000"/>
              <w:end w:val="single" w:sz="8" w:space="0" w:color="000000"/>
            </w:tcBorders>
            <w:shd w:color="FFFFFF" w:fill="FFFFFF" w:val="clear"/>
            <w:vAlign w:val="center"/>
          </w:tcPr>
          <w:p>
            <w:pPr>
              <w:pStyle w:val="Normal"/>
              <w:spacing w:lineRule="auto" w:line="240" w:before="0" w:after="0"/>
              <w:jc w:val="center"/>
              <w:rPr>
                <w:rFonts w:ascii="Calibri" w:hAnsi="Calibri" w:eastAsia="Times New Roman" w:cs="Calibri"/>
                <w:b/>
                <w:bCs/>
                <w:color w:val="000000"/>
                <w:sz w:val="22"/>
                <w:szCs w:val="22"/>
                <w:lang w:eastAsia="en-IN"/>
                <w14:ligatures w14:val="none"/>
              </w:rPr>
            </w:pPr>
            <w:r>
              <w:rPr>
                <w:rFonts w:eastAsia="Times New Roman" w:cs="Calibri" w:ascii="Calibri" w:hAnsi="Calibri"/>
                <w:b/>
                <w:bCs/>
                <w:color w:val="000000"/>
                <w:sz w:val="22"/>
                <w:szCs w:val="22"/>
                <w:lang w:eastAsia="en-IN"/>
                <w14:ligatures w14:val="none"/>
              </w:rPr>
              <w:t>157485</w:t>
            </w:r>
          </w:p>
        </w:tc>
      </w:tr>
    </w:tbl>
    <w:p>
      <w:pPr>
        <w:pStyle w:val="Normal"/>
        <w:rPr>
          <w:rFonts w:ascii="Calibri" w:hAnsi="Calibri" w:cs="Calibri"/>
          <w:lang w:val="en-US" w:eastAsia="ja-JP"/>
        </w:rPr>
      </w:pPr>
      <w:r>
        <w:rPr>
          <w:rFonts w:cs="Calibri" w:ascii="Calibri" w:hAnsi="Calibri"/>
          <w:lang w:val="en-US" w:eastAsia="ja-JP"/>
        </w:rPr>
      </w:r>
    </w:p>
    <w:p>
      <w:pPr>
        <w:pStyle w:val="Normal"/>
        <w:ind w:start="426"/>
        <w:jc w:val="center"/>
        <w:rPr>
          <w:rFonts w:ascii="Calibri" w:hAnsi="Calibri" w:cs="Calibri"/>
          <w:b/>
          <w:bCs/>
        </w:rPr>
      </w:pPr>
      <w:r>
        <w:rPr/>
        <w:drawing>
          <wp:inline distT="0" distB="0" distL="0" distR="0">
            <wp:extent cx="6287770" cy="3618230"/>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6287770" cy="3618230"/>
                    </a:xfrm>
                    <a:prstGeom prst="rect">
                      <a:avLst/>
                    </a:prstGeom>
                    <a:noFill/>
                  </pic:spPr>
                </pic:pic>
              </a:graphicData>
            </a:graphic>
          </wp:inline>
        </w:drawing>
      </w:r>
    </w:p>
    <w:p>
      <w:pPr>
        <w:pStyle w:val="Normal"/>
        <w:ind w:start="426"/>
        <w:jc w:val="center"/>
        <w:rPr>
          <w:rFonts w:ascii="Calibri" w:hAnsi="Calibri" w:cs="Calibri"/>
          <w:b/>
          <w:bCs/>
        </w:rPr>
      </w:pPr>
      <w:r>
        <w:rPr/>
        <w:drawing>
          <wp:inline distT="0" distB="0" distL="0" distR="0">
            <wp:extent cx="6172200" cy="2987040"/>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6172200" cy="2987040"/>
                    </a:xfrm>
                    <a:prstGeom prst="rect">
                      <a:avLst/>
                    </a:prstGeom>
                    <a:noFill/>
                  </pic:spPr>
                </pic:pic>
              </a:graphicData>
            </a:graphic>
          </wp:inline>
        </w:drawing>
      </w:r>
    </w:p>
    <w:p>
      <w:pPr>
        <w:pStyle w:val="Normal"/>
        <w:rPr>
          <w:rFonts w:ascii="Calibri" w:hAnsi="Calibri" w:cs="Calibri"/>
          <w:b/>
          <w:bCs/>
        </w:rPr>
      </w:pPr>
      <w:r>
        <w:rPr>
          <w:rFonts w:cs="Calibri" w:ascii="Calibri" w:hAnsi="Calibri"/>
          <w:b/>
          <w:bCs/>
        </w:rPr>
        <w:t>Observations:</w:t>
      </w:r>
    </w:p>
    <w:p>
      <w:pPr>
        <w:pStyle w:val="ListParagraph"/>
        <w:numPr>
          <w:ilvl w:val="0"/>
          <w:numId w:val="10"/>
        </w:numPr>
        <w:rPr>
          <w:rFonts w:ascii="Calibri" w:hAnsi="Calibri" w:cs="Calibri"/>
        </w:rPr>
      </w:pPr>
      <w:r>
        <w:rPr>
          <w:rFonts w:cs="Calibri" w:ascii="Calibri" w:hAnsi="Calibri"/>
        </w:rPr>
        <w:t>All transactions, except for a negligible percentage of error transactions, were completed within the accepted response time SLA of 1.5 seconds.</w:t>
      </w:r>
      <w:r>
        <w:rPr>
          <w:rFonts w:cs="Calibri" w:ascii="Calibri" w:hAnsi="Calibri"/>
        </w:rPr>
        <w:drawing>
          <wp:inline distT="0" distB="0" distL="0" distR="0">
            <wp:extent cx="5971540" cy="934720"/>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
                    <a:stretch>
                      <a:fillRect/>
                    </a:stretch>
                  </pic:blipFill>
                  <pic:spPr bwMode="auto">
                    <a:xfrm>
                      <a:off x="0" y="0"/>
                      <a:ext cx="5971540" cy="934720"/>
                    </a:xfrm>
                    <a:prstGeom prst="rect">
                      <a:avLst/>
                    </a:prstGeom>
                    <a:noFill/>
                  </pic:spPr>
                </pic:pic>
              </a:graphicData>
            </a:graphic>
          </wp:inline>
        </w:drawing>
      </w:r>
    </w:p>
    <w:p>
      <w:pPr>
        <w:pStyle w:val="ListParagraph"/>
        <w:numPr>
          <w:ilvl w:val="0"/>
          <w:numId w:val="0"/>
        </w:numPr>
        <w:ind w:hanging="0" w:start="720"/>
        <w:rPr>
          <w:rFonts w:ascii="Calibri" w:hAnsi="Calibri" w:cs="Calibri"/>
        </w:rPr>
      </w:pPr>
      <w:r>
        <w:rPr>
          <w:rFonts w:cs="Calibri" w:ascii="Calibri" w:hAnsi="Calibri"/>
          <w:sz w:val="28"/>
          <w:szCs w:val="28"/>
        </w:rPr>
      </w:r>
    </w:p>
    <w:p>
      <w:pPr>
        <w:pStyle w:val="Heading2"/>
        <w:keepNext w:val="true"/>
        <w:keepLines/>
        <w:widowControl/>
        <w:numPr>
          <w:ilvl w:val="0"/>
          <w:numId w:val="0"/>
        </w:numPr>
        <w:bidi w:val="0"/>
        <w:spacing w:lineRule="auto" w:line="252" w:before="140" w:after="80"/>
        <w:ind w:hanging="0" w:start="0" w:end="0"/>
        <w:jc w:val="start"/>
        <w:rPr/>
      </w:pPr>
      <w:bookmarkStart w:id="14" w:name="__RefHeading___Toc3833_121261670"/>
      <w:bookmarkEnd w:id="14"/>
      <w:r>
        <w:rPr>
          <w:color w:val="2A6099"/>
          <w:sz w:val="24"/>
          <w:szCs w:val="24"/>
        </w:rPr>
        <w:t>6</w:t>
      </w:r>
      <w:r>
        <w:rPr>
          <w:color w:val="2A6099"/>
          <w:sz w:val="24"/>
          <w:szCs w:val="24"/>
        </w:rPr>
        <w:t xml:space="preserve">.2 </w:t>
      </w:r>
      <w:bookmarkStart w:id="15" w:name="_Toc189654784_Copy_1"/>
      <w:r>
        <w:rPr>
          <w:color w:val="2A6099"/>
          <w:sz w:val="24"/>
          <w:szCs w:val="24"/>
        </w:rPr>
        <w:t xml:space="preserve">S2 – </w:t>
      </w:r>
      <w:r>
        <w:rPr>
          <w:b/>
          <w:bCs/>
          <w:color w:val="2A6099"/>
          <w:sz w:val="24"/>
          <w:szCs w:val="24"/>
        </w:rPr>
        <w:t>Heavy</w:t>
      </w:r>
      <w:r>
        <w:rPr>
          <w:color w:val="2A6099"/>
          <w:sz w:val="24"/>
          <w:szCs w:val="24"/>
        </w:rPr>
        <w:t xml:space="preserve"> Load:</w:t>
      </w:r>
      <w:bookmarkEnd w:id="15"/>
      <w:r>
        <w:rPr>
          <w:color w:val="2A6099"/>
          <w:sz w:val="24"/>
          <w:szCs w:val="24"/>
        </w:rPr>
        <w:t xml:space="preserve"> </w:t>
      </w:r>
    </w:p>
    <w:p>
      <w:pPr>
        <w:pStyle w:val="Normal"/>
        <w:rPr>
          <w:lang w:val="en-US" w:eastAsia="ja-JP"/>
        </w:rPr>
      </w:pPr>
      <w:r>
        <w:rPr>
          <w:lang w:val="en-US" w:eastAsia="ja-JP"/>
        </w:rPr>
      </w:r>
    </w:p>
    <w:tbl>
      <w:tblPr>
        <w:tblW w:w="10100" w:type="dxa"/>
        <w:jc w:val="start"/>
        <w:tblInd w:w="118" w:type="dxa"/>
        <w:tblLayout w:type="fixed"/>
        <w:tblCellMar>
          <w:top w:w="0" w:type="dxa"/>
          <w:start w:w="108" w:type="dxa"/>
          <w:bottom w:w="0" w:type="dxa"/>
          <w:end w:w="108" w:type="dxa"/>
        </w:tblCellMar>
        <w:tblLook w:val="04a0" w:firstRow="1" w:noVBand="1" w:lastRow="0" w:firstColumn="1" w:lastColumn="0" w:noHBand="0"/>
      </w:tblPr>
      <w:tblGrid>
        <w:gridCol w:w="1833"/>
        <w:gridCol w:w="3051"/>
        <w:gridCol w:w="1763"/>
        <w:gridCol w:w="3453"/>
      </w:tblGrid>
      <w:tr>
        <w:trPr>
          <w:trHeight w:val="330" w:hRule="atLeast"/>
        </w:trPr>
        <w:tc>
          <w:tcPr>
            <w:tcW w:w="10100" w:type="dxa"/>
            <w:gridSpan w:val="4"/>
            <w:tcBorders>
              <w:top w:val="single" w:sz="8" w:space="0" w:color="000000"/>
              <w:start w:val="single" w:sz="8" w:space="0" w:color="000000"/>
              <w:bottom w:val="single" w:sz="8" w:space="0" w:color="000000"/>
              <w:end w:val="single" w:sz="8" w:space="0" w:color="000000"/>
            </w:tcBorders>
            <w:shd w:color="000000" w:fill="305496" w:val="clear"/>
            <w:vAlign w:val="center"/>
          </w:tcPr>
          <w:p>
            <w:pPr>
              <w:pStyle w:val="Normal"/>
              <w:spacing w:lineRule="auto" w:line="240" w:before="0" w:after="0"/>
              <w:jc w:val="center"/>
              <w:rPr>
                <w:rFonts w:ascii="Calibri" w:hAnsi="Calibri" w:eastAsia="Times New Roman" w:cs="Calibri"/>
                <w:b/>
                <w:bCs/>
                <w:color w:val="FFFFFF"/>
                <w:sz w:val="22"/>
                <w:szCs w:val="22"/>
                <w:lang w:eastAsia="en-IN"/>
                <w14:ligatures w14:val="none"/>
              </w:rPr>
            </w:pPr>
            <w:r>
              <w:rPr>
                <w:rFonts w:eastAsia="Times New Roman" w:cs="Calibri" w:ascii="Calibri" w:hAnsi="Calibri"/>
                <w:b/>
                <w:bCs/>
                <w:color w:val="FFFFFF"/>
                <w:sz w:val="22"/>
                <w:szCs w:val="22"/>
                <w:lang w:eastAsia="en-IN"/>
                <w14:ligatures w14:val="none"/>
              </w:rPr>
              <w:t>S2 (04/08/25 - 4.09 PM - 6.10 PM)</w:t>
            </w:r>
          </w:p>
        </w:tc>
      </w:tr>
      <w:tr>
        <w:trPr>
          <w:trHeight w:val="300" w:hRule="atLeast"/>
        </w:trPr>
        <w:tc>
          <w:tcPr>
            <w:tcW w:w="1833" w:type="dxa"/>
            <w:tcBorders>
              <w:start w:val="single" w:sz="8" w:space="0" w:color="000000"/>
              <w:bottom w:val="single" w:sz="8" w:space="0" w:color="000000"/>
              <w:end w:val="single" w:sz="8" w:space="0" w:color="000000"/>
            </w:tcBorders>
            <w:shd w:color="000000" w:fill="BDD7EE" w:val="clear"/>
            <w:vAlign w:val="center"/>
          </w:tcPr>
          <w:p>
            <w:pPr>
              <w:pStyle w:val="Normal"/>
              <w:spacing w:lineRule="auto" w:line="240" w:before="0" w:after="0"/>
              <w:jc w:val="center"/>
              <w:rPr>
                <w:rFonts w:ascii="Calibri" w:hAnsi="Calibri" w:eastAsia="Times New Roman" w:cs="Calibri"/>
                <w:b/>
                <w:bCs/>
                <w:color w:val="000000"/>
                <w:sz w:val="22"/>
                <w:szCs w:val="22"/>
                <w:lang w:eastAsia="en-IN"/>
                <w14:ligatures w14:val="none"/>
              </w:rPr>
            </w:pPr>
            <w:r>
              <w:rPr>
                <w:rFonts w:eastAsia="Times New Roman" w:cs="Calibri" w:ascii="Calibri" w:hAnsi="Calibri"/>
                <w:b/>
                <w:bCs/>
                <w:color w:val="000000"/>
                <w:sz w:val="22"/>
                <w:szCs w:val="22"/>
                <w:lang w:eastAsia="en-IN"/>
                <w14:ligatures w14:val="none"/>
              </w:rPr>
              <w:t>Application</w:t>
            </w:r>
          </w:p>
        </w:tc>
        <w:tc>
          <w:tcPr>
            <w:tcW w:w="3051" w:type="dxa"/>
            <w:tcBorders>
              <w:bottom w:val="single" w:sz="8" w:space="0" w:color="000000"/>
              <w:end w:val="single" w:sz="8" w:space="0" w:color="000000"/>
            </w:tcBorders>
            <w:shd w:color="000000" w:fill="BDD7EE" w:val="clear"/>
            <w:vAlign w:val="center"/>
          </w:tcPr>
          <w:p>
            <w:pPr>
              <w:pStyle w:val="Normal"/>
              <w:spacing w:lineRule="auto" w:line="240" w:before="0" w:after="0"/>
              <w:jc w:val="center"/>
              <w:rPr>
                <w:rFonts w:ascii="Calibri" w:hAnsi="Calibri" w:eastAsia="Times New Roman" w:cs="Calibri"/>
                <w:b/>
                <w:bCs/>
                <w:color w:val="000000"/>
                <w:sz w:val="22"/>
                <w:szCs w:val="22"/>
                <w:lang w:eastAsia="en-IN"/>
                <w14:ligatures w14:val="none"/>
              </w:rPr>
            </w:pPr>
            <w:r>
              <w:rPr>
                <w:rFonts w:eastAsia="Times New Roman" w:cs="Calibri" w:ascii="Calibri" w:hAnsi="Calibri"/>
                <w:b/>
                <w:bCs/>
                <w:color w:val="000000"/>
                <w:sz w:val="22"/>
                <w:szCs w:val="22"/>
                <w:lang w:eastAsia="en-IN"/>
                <w14:ligatures w14:val="none"/>
              </w:rPr>
              <w:t>Transactions</w:t>
            </w:r>
          </w:p>
        </w:tc>
        <w:tc>
          <w:tcPr>
            <w:tcW w:w="1763" w:type="dxa"/>
            <w:tcBorders>
              <w:bottom w:val="single" w:sz="8" w:space="0" w:color="000000"/>
              <w:end w:val="single" w:sz="8" w:space="0" w:color="000000"/>
            </w:tcBorders>
            <w:shd w:color="000000" w:fill="BDD7EE" w:val="clear"/>
            <w:vAlign w:val="center"/>
          </w:tcPr>
          <w:p>
            <w:pPr>
              <w:pStyle w:val="Normal"/>
              <w:spacing w:lineRule="auto" w:line="240" w:before="0" w:after="0"/>
              <w:jc w:val="center"/>
              <w:rPr>
                <w:rFonts w:ascii="Calibri" w:hAnsi="Calibri" w:eastAsia="Times New Roman" w:cs="Calibri"/>
                <w:b/>
                <w:bCs/>
                <w:color w:val="000000"/>
                <w:sz w:val="22"/>
                <w:szCs w:val="22"/>
                <w:lang w:eastAsia="en-IN"/>
                <w14:ligatures w14:val="none"/>
              </w:rPr>
            </w:pPr>
            <w:r>
              <w:rPr>
                <w:rFonts w:eastAsia="Times New Roman" w:cs="Calibri" w:ascii="Calibri" w:hAnsi="Calibri"/>
                <w:b/>
                <w:bCs/>
                <w:color w:val="000000"/>
                <w:sz w:val="22"/>
                <w:szCs w:val="22"/>
                <w:lang w:eastAsia="en-IN"/>
                <w14:ligatures w14:val="none"/>
              </w:rPr>
              <w:t>Threads</w:t>
            </w:r>
          </w:p>
        </w:tc>
        <w:tc>
          <w:tcPr>
            <w:tcW w:w="3453" w:type="dxa"/>
            <w:tcBorders>
              <w:bottom w:val="single" w:sz="8" w:space="0" w:color="000000"/>
              <w:end w:val="single" w:sz="8" w:space="0" w:color="000000"/>
            </w:tcBorders>
            <w:shd w:color="000000" w:fill="BDD7EE" w:val="clear"/>
            <w:vAlign w:val="center"/>
          </w:tcPr>
          <w:p>
            <w:pPr>
              <w:pStyle w:val="Normal"/>
              <w:spacing w:lineRule="auto" w:line="240" w:before="0" w:after="0"/>
              <w:jc w:val="center"/>
              <w:rPr>
                <w:rFonts w:ascii="Calibri" w:hAnsi="Calibri" w:eastAsia="Times New Roman" w:cs="Calibri"/>
                <w:b/>
                <w:bCs/>
                <w:color w:val="000000"/>
                <w:sz w:val="22"/>
                <w:szCs w:val="22"/>
                <w:lang w:eastAsia="en-IN"/>
                <w14:ligatures w14:val="none"/>
              </w:rPr>
            </w:pPr>
            <w:r>
              <w:rPr>
                <w:rFonts w:eastAsia="Times New Roman" w:cs="Calibri" w:ascii="Calibri" w:hAnsi="Calibri"/>
                <w:b/>
                <w:bCs/>
                <w:color w:val="000000"/>
                <w:sz w:val="22"/>
                <w:szCs w:val="22"/>
                <w:lang w:eastAsia="en-IN"/>
                <w14:ligatures w14:val="none"/>
              </w:rPr>
              <w:t>Total Transactions</w:t>
            </w:r>
          </w:p>
        </w:tc>
      </w:tr>
      <w:tr>
        <w:trPr>
          <w:trHeight w:val="330" w:hRule="atLeast"/>
        </w:trPr>
        <w:tc>
          <w:tcPr>
            <w:tcW w:w="1833" w:type="dxa"/>
            <w:tcBorders>
              <w:start w:val="single" w:sz="8" w:space="0" w:color="000000"/>
              <w:bottom w:val="single" w:sz="8" w:space="0" w:color="000000"/>
              <w:end w:val="single" w:sz="8" w:space="0" w:color="000000"/>
            </w:tcBorders>
            <w:shd w:color="FFFFFF" w:fill="FFFFFF" w:val="clear"/>
            <w:vAlign w:val="center"/>
          </w:tcPr>
          <w:p>
            <w:pPr>
              <w:pStyle w:val="Normal"/>
              <w:spacing w:lineRule="auto" w:line="240" w:before="0" w:after="0"/>
              <w:jc w:val="center"/>
              <w:rPr>
                <w:rFonts w:ascii="Calibri" w:hAnsi="Calibri" w:eastAsia="Times New Roman" w:cs="Calibri"/>
                <w:color w:val="000000"/>
                <w:sz w:val="22"/>
                <w:szCs w:val="22"/>
                <w:lang w:eastAsia="en-IN"/>
                <w14:ligatures w14:val="none"/>
              </w:rPr>
            </w:pPr>
            <w:r>
              <w:rPr>
                <w:rFonts w:eastAsia="Times New Roman" w:cs="Calibri" w:ascii="Calibri" w:hAnsi="Calibri"/>
                <w:color w:val="000000"/>
                <w:sz w:val="22"/>
                <w:szCs w:val="22"/>
                <w:lang w:eastAsia="en-IN"/>
                <w14:ligatures w14:val="none"/>
              </w:rPr>
              <w:t>Ecom</w:t>
            </w:r>
          </w:p>
        </w:tc>
        <w:tc>
          <w:tcPr>
            <w:tcW w:w="3051" w:type="dxa"/>
            <w:tcBorders>
              <w:bottom w:val="single" w:sz="8" w:space="0" w:color="000000"/>
              <w:end w:val="single" w:sz="8" w:space="0" w:color="000000"/>
            </w:tcBorders>
            <w:shd w:color="FFFFFF" w:fill="FFFFFF" w:val="clear"/>
            <w:vAlign w:val="center"/>
          </w:tcPr>
          <w:p>
            <w:pPr>
              <w:pStyle w:val="Normal"/>
              <w:spacing w:lineRule="auto" w:line="240" w:before="0" w:after="0"/>
              <w:jc w:val="center"/>
              <w:rPr>
                <w:rFonts w:ascii="Calibri" w:hAnsi="Calibri" w:eastAsia="Times New Roman" w:cs="Calibri"/>
                <w:b/>
                <w:bCs/>
                <w:color w:val="000000"/>
                <w:sz w:val="22"/>
                <w:szCs w:val="22"/>
                <w:lang w:eastAsia="en-IN"/>
                <w14:ligatures w14:val="none"/>
              </w:rPr>
            </w:pPr>
            <w:r>
              <w:rPr>
                <w:rFonts w:eastAsia="Times New Roman" w:cs="Calibri" w:ascii="Calibri" w:hAnsi="Calibri"/>
                <w:color w:val="000000"/>
                <w:lang w:eastAsia="en-IN"/>
                <w14:ligatures w14:val="none"/>
              </w:rPr>
              <w:t xml:space="preserve"> </w:t>
            </w:r>
            <w:r>
              <w:rPr>
                <w:rFonts w:eastAsia="Times New Roman" w:cs="Calibri" w:ascii="Calibri" w:hAnsi="Calibri"/>
                <w:color w:val="000000"/>
                <w:lang w:eastAsia="en-IN"/>
                <w14:ligatures w14:val="none"/>
              </w:rPr>
              <w:t>UAE Acquirer &amp; UAE Issuer (non-tokenized)</w:t>
            </w:r>
          </w:p>
          <w:p>
            <w:pPr>
              <w:pStyle w:val="Normal"/>
              <w:tabs>
                <w:tab w:val="clear" w:pos="720"/>
                <w:tab w:val="center" w:pos="1417" w:leader="none"/>
              </w:tabs>
              <w:spacing w:lineRule="auto" w:line="240" w:before="0" w:after="0"/>
              <w:jc w:val="center"/>
              <w:rPr>
                <w:rFonts w:ascii="Calibri" w:hAnsi="Calibri" w:eastAsia="Times New Roman" w:cs="Calibri"/>
                <w:b/>
                <w:bCs/>
                <w:color w:val="000000"/>
                <w:sz w:val="22"/>
                <w:szCs w:val="22"/>
                <w:lang w:eastAsia="en-IN"/>
                <w14:ligatures w14:val="none"/>
              </w:rPr>
            </w:pPr>
            <w:r>
              <w:rPr>
                <w:rFonts w:eastAsia="Times New Roman" w:cs="Calibri" w:ascii="Calibri" w:hAnsi="Calibri"/>
                <w:b/>
                <w:bCs/>
                <w:color w:val="000000"/>
                <w:sz w:val="22"/>
                <w:szCs w:val="22"/>
                <w:lang w:eastAsia="en-IN"/>
                <w14:ligatures w14:val="none"/>
              </w:rPr>
              <w:tab/>
            </w:r>
          </w:p>
        </w:tc>
        <w:tc>
          <w:tcPr>
            <w:tcW w:w="1763" w:type="dxa"/>
            <w:tcBorders>
              <w:bottom w:val="single" w:sz="8" w:space="0" w:color="000000"/>
              <w:end w:val="single" w:sz="8" w:space="0" w:color="000000"/>
            </w:tcBorders>
            <w:shd w:color="FFFFFF" w:fill="FFFFFF" w:val="clear"/>
            <w:vAlign w:val="center"/>
          </w:tcPr>
          <w:p>
            <w:pPr>
              <w:pStyle w:val="Normal"/>
              <w:spacing w:lineRule="auto" w:line="240" w:before="0" w:after="0"/>
              <w:jc w:val="center"/>
              <w:rPr>
                <w:rFonts w:ascii="Calibri" w:hAnsi="Calibri" w:eastAsia="Times New Roman" w:cs="Calibri"/>
                <w:color w:val="000000"/>
                <w:sz w:val="22"/>
                <w:szCs w:val="22"/>
                <w:lang w:eastAsia="en-IN"/>
                <w14:ligatures w14:val="none"/>
              </w:rPr>
            </w:pPr>
            <w:r>
              <w:rPr>
                <w:rFonts w:eastAsia="Times New Roman" w:cs="Calibri" w:ascii="Calibri" w:hAnsi="Calibri"/>
                <w:color w:val="000000"/>
                <w:sz w:val="22"/>
                <w:szCs w:val="22"/>
                <w:lang w:eastAsia="en-IN"/>
                <w14:ligatures w14:val="none"/>
              </w:rPr>
              <w:t>50</w:t>
            </w:r>
          </w:p>
        </w:tc>
        <w:tc>
          <w:tcPr>
            <w:tcW w:w="3453" w:type="dxa"/>
            <w:tcBorders>
              <w:bottom w:val="single" w:sz="8" w:space="0" w:color="000000"/>
              <w:end w:val="single" w:sz="8" w:space="0" w:color="000000"/>
            </w:tcBorders>
            <w:shd w:color="FFFFFF" w:fill="FFFFFF" w:val="clear"/>
            <w:vAlign w:val="center"/>
          </w:tcPr>
          <w:p>
            <w:pPr>
              <w:pStyle w:val="Normal"/>
              <w:spacing w:lineRule="auto" w:line="240" w:before="0" w:after="0"/>
              <w:jc w:val="center"/>
              <w:rPr>
                <w:rFonts w:ascii="Calibri" w:hAnsi="Calibri" w:eastAsia="Times New Roman" w:cs="Calibri"/>
                <w:color w:val="000000"/>
                <w:sz w:val="22"/>
                <w:szCs w:val="22"/>
                <w:lang w:eastAsia="en-IN"/>
                <w14:ligatures w14:val="none"/>
              </w:rPr>
            </w:pPr>
            <w:r>
              <w:rPr>
                <w:rFonts w:eastAsia="Times New Roman" w:cs="Calibri" w:ascii="Calibri" w:hAnsi="Calibri"/>
                <w:color w:val="000000"/>
                <w:sz w:val="22"/>
                <w:szCs w:val="22"/>
                <w:lang w:eastAsia="en-IN"/>
                <w14:ligatures w14:val="none"/>
              </w:rPr>
              <w:t>291652</w:t>
            </w:r>
          </w:p>
        </w:tc>
      </w:tr>
      <w:tr>
        <w:trPr>
          <w:trHeight w:val="330" w:hRule="atLeast"/>
        </w:trPr>
        <w:tc>
          <w:tcPr>
            <w:tcW w:w="4884" w:type="dxa"/>
            <w:gridSpan w:val="2"/>
            <w:tcBorders>
              <w:top w:val="single" w:sz="8" w:space="0" w:color="000000"/>
              <w:start w:val="single" w:sz="8" w:space="0" w:color="000000"/>
              <w:bottom w:val="single" w:sz="8" w:space="0" w:color="000000"/>
              <w:end w:val="single" w:sz="8" w:space="0" w:color="000000"/>
            </w:tcBorders>
            <w:shd w:color="000000" w:fill="DDEBF7" w:val="clear"/>
            <w:vAlign w:val="center"/>
          </w:tcPr>
          <w:p>
            <w:pPr>
              <w:pStyle w:val="Normal"/>
              <w:spacing w:lineRule="auto" w:line="240" w:before="0" w:after="0"/>
              <w:jc w:val="center"/>
              <w:rPr>
                <w:rFonts w:ascii="Calibri" w:hAnsi="Calibri" w:eastAsia="Times New Roman" w:cs="Calibri"/>
                <w:b/>
                <w:bCs/>
                <w:color w:val="000000"/>
                <w:sz w:val="22"/>
                <w:szCs w:val="22"/>
                <w:lang w:eastAsia="en-IN"/>
                <w14:ligatures w14:val="none"/>
              </w:rPr>
            </w:pPr>
            <w:r>
              <w:rPr>
                <w:rFonts w:eastAsia="Times New Roman" w:cs="Calibri" w:ascii="Calibri" w:hAnsi="Calibri"/>
                <w:b/>
                <w:bCs/>
                <w:color w:val="000000"/>
                <w:sz w:val="22"/>
                <w:szCs w:val="22"/>
                <w:lang w:eastAsia="en-IN"/>
                <w14:ligatures w14:val="none"/>
              </w:rPr>
              <w:t>Total</w:t>
            </w:r>
          </w:p>
        </w:tc>
        <w:tc>
          <w:tcPr>
            <w:tcW w:w="1763" w:type="dxa"/>
            <w:tcBorders>
              <w:bottom w:val="single" w:sz="8" w:space="0" w:color="000000"/>
              <w:end w:val="single" w:sz="8" w:space="0" w:color="000000"/>
            </w:tcBorders>
            <w:shd w:color="FFFFFF" w:fill="FFFFFF" w:val="clear"/>
            <w:vAlign w:val="center"/>
          </w:tcPr>
          <w:p>
            <w:pPr>
              <w:pStyle w:val="Normal"/>
              <w:spacing w:lineRule="auto" w:line="240" w:before="0" w:after="0"/>
              <w:jc w:val="center"/>
              <w:rPr>
                <w:rFonts w:ascii="Calibri" w:hAnsi="Calibri" w:eastAsia="Times New Roman" w:cs="Calibri"/>
                <w:b/>
                <w:bCs/>
                <w:color w:val="000000"/>
                <w:sz w:val="22"/>
                <w:szCs w:val="22"/>
                <w:lang w:eastAsia="en-IN"/>
                <w14:ligatures w14:val="none"/>
              </w:rPr>
            </w:pPr>
            <w:r>
              <w:rPr>
                <w:rFonts w:eastAsia="Times New Roman" w:cs="Calibri" w:ascii="Calibri" w:hAnsi="Calibri"/>
                <w:b/>
                <w:bCs/>
                <w:color w:val="000000"/>
                <w:sz w:val="22"/>
                <w:szCs w:val="22"/>
                <w:lang w:eastAsia="en-IN"/>
                <w14:ligatures w14:val="none"/>
              </w:rPr>
              <w:t>50</w:t>
            </w:r>
          </w:p>
        </w:tc>
        <w:tc>
          <w:tcPr>
            <w:tcW w:w="3453" w:type="dxa"/>
            <w:tcBorders>
              <w:bottom w:val="single" w:sz="8" w:space="0" w:color="000000"/>
              <w:end w:val="single" w:sz="8" w:space="0" w:color="000000"/>
            </w:tcBorders>
            <w:shd w:color="FFFFFF" w:fill="FFFFFF" w:val="clear"/>
            <w:vAlign w:val="center"/>
          </w:tcPr>
          <w:p>
            <w:pPr>
              <w:pStyle w:val="Normal"/>
              <w:spacing w:lineRule="auto" w:line="240" w:before="0" w:after="0"/>
              <w:jc w:val="center"/>
              <w:rPr>
                <w:rFonts w:ascii="Calibri" w:hAnsi="Calibri" w:eastAsia="Times New Roman" w:cs="Calibri"/>
                <w:b/>
                <w:bCs/>
                <w:color w:val="000000"/>
                <w:sz w:val="22"/>
                <w:szCs w:val="22"/>
                <w:lang w:eastAsia="en-IN"/>
                <w14:ligatures w14:val="none"/>
              </w:rPr>
            </w:pPr>
            <w:r>
              <w:rPr>
                <w:rFonts w:eastAsia="Times New Roman" w:cs="Calibri" w:ascii="Calibri" w:hAnsi="Calibri"/>
                <w:b/>
                <w:bCs/>
                <w:color w:val="000000"/>
                <w:sz w:val="22"/>
                <w:szCs w:val="22"/>
                <w:lang w:eastAsia="en-IN"/>
                <w14:ligatures w14:val="none"/>
              </w:rPr>
              <w:t>291652</w:t>
            </w:r>
          </w:p>
        </w:tc>
      </w:tr>
    </w:tbl>
    <w:p>
      <w:pPr>
        <w:pStyle w:val="Normal"/>
        <w:rPr>
          <w:lang w:val="en-US" w:eastAsia="ja-JP"/>
        </w:rPr>
      </w:pPr>
      <w:r>
        <w:rPr>
          <w:lang w:val="en-US" w:eastAsia="ja-JP"/>
        </w:rPr>
      </w:r>
    </w:p>
    <w:p>
      <w:pPr>
        <w:pStyle w:val="Normal"/>
        <w:rPr>
          <w:lang w:val="en-US" w:eastAsia="ja-JP"/>
        </w:rPr>
      </w:pPr>
      <w:r>
        <w:rPr/>
        <w:drawing>
          <wp:inline distT="0" distB="0" distL="0" distR="0">
            <wp:extent cx="6387465" cy="2750820"/>
            <wp:effectExtent l="0" t="0" r="0" b="0"/>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9"/>
                    <a:stretch>
                      <a:fillRect/>
                    </a:stretch>
                  </pic:blipFill>
                  <pic:spPr bwMode="auto">
                    <a:xfrm>
                      <a:off x="0" y="0"/>
                      <a:ext cx="6387465" cy="2750820"/>
                    </a:xfrm>
                    <a:prstGeom prst="rect">
                      <a:avLst/>
                    </a:prstGeom>
                    <a:noFill/>
                  </pic:spPr>
                </pic:pic>
              </a:graphicData>
            </a:graphic>
          </wp:inline>
        </w:drawing>
      </w:r>
    </w:p>
    <w:p>
      <w:pPr>
        <w:pStyle w:val="Normal"/>
        <w:rPr>
          <w:lang w:val="en-US" w:eastAsia="ja-JP"/>
        </w:rPr>
      </w:pPr>
      <w:r>
        <w:rPr>
          <w:lang w:val="en-US" w:eastAsia="ja-JP"/>
        </w:rPr>
      </w:r>
    </w:p>
    <w:p>
      <w:pPr>
        <w:pStyle w:val="Normal"/>
        <w:rPr>
          <w:lang w:val="en-US" w:eastAsia="ja-JP"/>
        </w:rPr>
      </w:pPr>
      <w:r>
        <w:rPr>
          <w:lang w:val="en-US" w:eastAsia="ja-JP"/>
        </w:rPr>
      </w:r>
    </w:p>
    <w:p>
      <w:pPr>
        <w:pStyle w:val="Normal"/>
        <w:rPr>
          <w:lang w:val="en-US" w:eastAsia="ja-JP"/>
        </w:rPr>
      </w:pPr>
      <w:r>
        <w:rPr>
          <w:lang w:val="en-US" w:eastAsia="ja-JP"/>
        </w:rPr>
      </w:r>
    </w:p>
    <w:p>
      <w:pPr>
        <w:pStyle w:val="Normal"/>
        <w:rPr>
          <w:lang w:val="en-US" w:eastAsia="ja-JP"/>
        </w:rPr>
      </w:pPr>
      <w:r>
        <w:rPr/>
        <w:drawing>
          <wp:inline distT="0" distB="0" distL="0" distR="0">
            <wp:extent cx="6391910" cy="2569210"/>
            <wp:effectExtent l="0" t="0" r="0" b="0"/>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0"/>
                    <a:stretch>
                      <a:fillRect/>
                    </a:stretch>
                  </pic:blipFill>
                  <pic:spPr bwMode="auto">
                    <a:xfrm>
                      <a:off x="0" y="0"/>
                      <a:ext cx="6391910" cy="2569210"/>
                    </a:xfrm>
                    <a:prstGeom prst="rect">
                      <a:avLst/>
                    </a:prstGeom>
                    <a:noFill/>
                  </pic:spPr>
                </pic:pic>
              </a:graphicData>
            </a:graphic>
          </wp:inline>
        </w:drawing>
      </w:r>
    </w:p>
    <w:p>
      <w:pPr>
        <w:pStyle w:val="Normal"/>
        <w:rPr>
          <w:rFonts w:ascii="Calibri" w:hAnsi="Calibri" w:cs="Calibri"/>
          <w:b/>
          <w:bCs/>
        </w:rPr>
      </w:pPr>
      <w:r>
        <w:rPr>
          <w:rFonts w:cs="Calibri" w:ascii="Calibri" w:hAnsi="Calibri"/>
          <w:b/>
          <w:bCs/>
        </w:rPr>
        <w:t>Observations:</w:t>
      </w:r>
    </w:p>
    <w:p>
      <w:pPr>
        <w:pStyle w:val="ListParagraph"/>
        <w:numPr>
          <w:ilvl w:val="0"/>
          <w:numId w:val="11"/>
        </w:numPr>
        <w:rPr>
          <w:rFonts w:ascii="Calibri" w:hAnsi="Calibri" w:cs="Calibri"/>
        </w:rPr>
      </w:pPr>
      <w:r>
        <w:rPr>
          <w:rFonts w:cs="Calibri" w:ascii="Calibri" w:hAnsi="Calibri"/>
        </w:rPr>
        <w:t>Response time SLA (2 seconds) breach was observed only for the minimal amount of error transactions.</w:t>
      </w:r>
      <w:r>
        <w:rPr>
          <w:rFonts w:cs="Calibri" w:ascii="Calibri" w:hAnsi="Calibri"/>
        </w:rPr>
        <w:drawing>
          <wp:inline distT="0" distB="0" distL="0" distR="0">
            <wp:extent cx="6168390" cy="822325"/>
            <wp:effectExtent l="0" t="0" r="0" b="0"/>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1"/>
                    <a:stretch>
                      <a:fillRect/>
                    </a:stretch>
                  </pic:blipFill>
                  <pic:spPr bwMode="auto">
                    <a:xfrm>
                      <a:off x="0" y="0"/>
                      <a:ext cx="6168390" cy="822325"/>
                    </a:xfrm>
                    <a:prstGeom prst="rect">
                      <a:avLst/>
                    </a:prstGeom>
                    <a:noFill/>
                  </pic:spPr>
                </pic:pic>
              </a:graphicData>
            </a:graphic>
          </wp:inline>
        </w:drawing>
      </w:r>
    </w:p>
    <w:p>
      <w:pPr>
        <w:pStyle w:val="Normal"/>
        <w:ind w:hanging="0" w:start="0"/>
        <w:jc w:val="center"/>
        <w:rPr/>
      </w:pPr>
      <w:r>
        <w:rPr/>
      </w:r>
    </w:p>
    <w:p>
      <w:pPr>
        <w:pStyle w:val="Heading1"/>
        <w:rPr>
          <w:color w:val="2A6099"/>
        </w:rPr>
      </w:pPr>
      <w:bookmarkStart w:id="16" w:name="__RefHeading___Toc2047_121261670"/>
      <w:bookmarkEnd w:id="16"/>
      <w:r>
        <w:rPr>
          <w:color w:val="2A6099"/>
        </w:rPr>
        <w:t>7</w:t>
      </w:r>
      <w:r>
        <w:rPr>
          <w:color w:val="2A6099"/>
        </w:rPr>
        <w:t>. Findings</w:t>
      </w:r>
    </w:p>
    <w:p>
      <w:pPr>
        <w:pStyle w:val="Normal"/>
        <w:numPr>
          <w:ilvl w:val="0"/>
          <w:numId w:val="9"/>
        </w:numPr>
        <w:jc w:val="both"/>
        <w:rPr>
          <w:rFonts w:ascii="Calibri" w:hAnsi="Calibri" w:cs="Calibri"/>
        </w:rPr>
      </w:pPr>
      <w:r>
        <w:rPr>
          <w:rFonts w:cs="Calibri" w:ascii="Calibri" w:hAnsi="Calibri"/>
          <w:b/>
          <w:bCs/>
        </w:rPr>
        <w:t>Transaction Response Times:</w:t>
      </w:r>
      <w:r>
        <w:rPr>
          <w:rFonts w:cs="Calibri" w:ascii="Calibri" w:hAnsi="Calibri"/>
        </w:rPr>
        <w:t xml:space="preserve"> Even though some transactions exceeded their SLA-defined response times under both standard and peak load conditions, the percentage of such instances was minimal compared to the overall load. The vast majority of transactions were processed within the expected response times, indicating that the system performed efficiently under varying load conditions.</w:t>
      </w:r>
    </w:p>
    <w:p>
      <w:pPr>
        <w:pStyle w:val="Normal"/>
        <w:numPr>
          <w:ilvl w:val="0"/>
          <w:numId w:val="9"/>
        </w:numPr>
        <w:jc w:val="both"/>
        <w:rPr>
          <w:rFonts w:ascii="Calibri" w:hAnsi="Calibri" w:cs="Calibri"/>
        </w:rPr>
      </w:pPr>
      <w:r>
        <w:rPr>
          <w:rFonts w:cs="Calibri" w:ascii="Calibri" w:hAnsi="Calibri"/>
          <w:b/>
          <w:bCs/>
        </w:rPr>
        <w:t>Transaction Failures:</w:t>
      </w:r>
      <w:r>
        <w:rPr>
          <w:rFonts w:cs="Calibri" w:ascii="Calibri" w:hAnsi="Calibri"/>
        </w:rPr>
        <w:t xml:space="preserve"> Minimal transaction failures were observed during performance testing.</w:t>
      </w:r>
    </w:p>
    <w:p>
      <w:pPr>
        <w:pStyle w:val="Heading1"/>
        <w:rPr>
          <w:color w:val="2A6099"/>
        </w:rPr>
      </w:pPr>
      <w:bookmarkStart w:id="17" w:name="__RefHeading___Toc3219_121261670"/>
      <w:bookmarkEnd w:id="17"/>
      <w:r>
        <w:rPr>
          <w:color w:val="2A6099"/>
        </w:rPr>
        <w:t>8</w:t>
      </w:r>
      <w:r>
        <w:rPr>
          <w:color w:val="2A6099"/>
        </w:rPr>
        <w:t xml:space="preserve">. </w:t>
      </w:r>
      <w:bookmarkStart w:id="18" w:name="_Toc189654787"/>
      <w:r>
        <w:rPr>
          <w:rFonts w:cs="Calibri"/>
          <w:color w:val="2A6099"/>
        </w:rPr>
        <w:t xml:space="preserve">Server </w:t>
      </w:r>
      <w:r>
        <w:rPr>
          <w:rFonts w:cs="Calibri"/>
          <w:color w:val="2A6099"/>
        </w:rPr>
        <w:t>M</w:t>
      </w:r>
      <w:r>
        <w:rPr>
          <w:rFonts w:cs="Calibri"/>
          <w:color w:val="2A6099"/>
        </w:rPr>
        <w:t>etrics</w:t>
      </w:r>
      <w:bookmarkEnd w:id="18"/>
    </w:p>
    <w:p>
      <w:pPr>
        <w:pStyle w:val="Normal"/>
        <w:jc w:val="both"/>
        <w:rPr>
          <w:rFonts w:ascii="Calibri" w:hAnsi="Calibri" w:cs="Calibri"/>
        </w:rPr>
      </w:pPr>
      <w:r>
        <w:rPr>
          <w:highlight w:val="yellow"/>
        </w:rPr>
        <w:t>To be included once received</w:t>
      </w:r>
    </w:p>
    <w:p>
      <w:pPr>
        <w:pStyle w:val="Heading1"/>
        <w:rPr>
          <w:color w:val="2A6099"/>
        </w:rPr>
      </w:pPr>
      <w:bookmarkStart w:id="19" w:name="__RefHeading___Toc3221_121261670"/>
      <w:bookmarkEnd w:id="19"/>
      <w:r>
        <w:rPr>
          <w:color w:val="2A6099"/>
        </w:rPr>
        <w:t>9</w:t>
      </w:r>
      <w:r>
        <w:rPr>
          <w:color w:val="2A6099"/>
        </w:rPr>
        <w:t xml:space="preserve">. </w:t>
      </w:r>
      <w:r>
        <w:rPr>
          <w:color w:val="2A6099"/>
        </w:rPr>
        <w:t>Conclusion</w:t>
      </w:r>
    </w:p>
    <w:p>
      <w:pPr>
        <w:pStyle w:val="Normal"/>
        <w:spacing w:before="0" w:after="80"/>
        <w:jc w:val="both"/>
        <w:rPr>
          <w:rFonts w:ascii="Calibri" w:hAnsi="Calibri" w:cs="Calibri"/>
        </w:rPr>
      </w:pPr>
      <w:r>
        <w:rPr>
          <w:rFonts w:cs="Calibri" w:ascii="Calibri" w:hAnsi="Calibri"/>
        </w:rPr>
        <w:t>The IST switch (Ecom-Non Tokenized) testing showed that the system supported the expected load without any server capacity issues. However, certain transactions exceeded their SLA-defined response times, with only a minimal error percentage observed, indicating that the server performed well under the load.</w:t>
      </w:r>
    </w:p>
    <w:sectPr>
      <w:headerReference w:type="even" r:id="rId12"/>
      <w:headerReference w:type="default" r:id="rId13"/>
      <w:headerReference w:type="first" r:id="rId14"/>
      <w:footerReference w:type="even" r:id="rId15"/>
      <w:footerReference w:type="default" r:id="rId16"/>
      <w:footerReference w:type="first" r:id="rId17"/>
      <w:type w:val="nextPage"/>
      <w:pgSz w:w="11909" w:h="16834"/>
      <w:pgMar w:left="1066" w:right="1066" w:gutter="0" w:header="317" w:top="821" w:footer="317" w:bottom="82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4" w:space="3" w:color="E6A06E"/>
      </w:pBdr>
      <w:jc w:val="center"/>
      <w:rPr/>
    </w:pPr>
    <w:r>
      <w:rPr/>
    </w:r>
  </w:p>
  <w:p>
    <w:pPr>
      <w:pStyle w:val="Normal"/>
      <w:jc w:val="center"/>
      <w:rPr/>
    </w:pPr>
    <w:r>
      <w:rPr>
        <w:color w:val="6E6E6E"/>
        <w:sz w:val="13"/>
      </w:rPr>
      <w:t>Classification: Internal Use</w:t>
    </w:r>
  </w:p>
  <w:p>
    <w:pPr>
      <w:pStyle w:val="Normal"/>
      <w:spacing w:before="0" w:after="80"/>
      <w:jc w:val="center"/>
      <w:rPr>
        <w:rFonts w:ascii="Arial" w:hAnsi="Arial"/>
        <w:color w:val="6E6E6E"/>
        <w:sz w:val="13"/>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4" w:space="3" w:color="E6A06E"/>
      </w:pBdr>
      <w:jc w:val="center"/>
      <w:rPr/>
    </w:pPr>
    <w:r>
      <w:rPr/>
    </w:r>
  </w:p>
  <w:p>
    <w:pPr>
      <w:pStyle w:val="Normal"/>
      <w:jc w:val="center"/>
      <w:rPr/>
    </w:pPr>
    <w:r>
      <w:rPr>
        <w:color w:val="6E6E6E"/>
        <w:sz w:val="13"/>
      </w:rPr>
      <w:t>Classification: Internal Use</w:t>
    </w:r>
  </w:p>
  <w:p>
    <w:pPr>
      <w:pStyle w:val="Normal"/>
      <w:spacing w:before="0" w:after="80"/>
      <w:jc w:val="center"/>
      <w:rPr>
        <w:rFonts w:ascii="Arial" w:hAnsi="Arial"/>
        <w:color w:val="6E6E6E"/>
        <w:sz w:val="13"/>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9648" w:leader="none"/>
      </w:tabs>
      <w:jc w:val="start"/>
      <w:rPr/>
    </w:pPr>
    <w:r>
      <w:rPr/>
      <w:tab/>
    </w:r>
    <w:r>
      <w:drawing>
        <wp:anchor distT="0" distB="0" distL="0" distR="0" simplePos="0" relativeHeight="4" behindDoc="0" locked="0" layoutInCell="0" allowOverlap="1">
          <wp:simplePos x="0" y="0"/>
          <wp:positionH relativeFrom="column">
            <wp:posOffset>5177155</wp:posOffset>
          </wp:positionH>
          <wp:positionV relativeFrom="paragraph">
            <wp:posOffset>-140970</wp:posOffset>
          </wp:positionV>
          <wp:extent cx="1298575" cy="433070"/>
          <wp:effectExtent l="0" t="0" r="0" b="0"/>
          <wp:wrapSquare wrapText="largest"/>
          <wp:docPr id="1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pic:cNvPicPr>
                    <a:picLocks noChangeAspect="1" noChangeArrowheads="1"/>
                  </pic:cNvPicPr>
                </pic:nvPicPr>
                <pic:blipFill>
                  <a:blip r:embed="rId1"/>
                  <a:stretch>
                    <a:fillRect/>
                  </a:stretch>
                </pic:blipFill>
                <pic:spPr bwMode="auto">
                  <a:xfrm>
                    <a:off x="0" y="0"/>
                    <a:ext cx="1298575" cy="433070"/>
                  </a:xfrm>
                  <a:prstGeom prst="rect">
                    <a:avLst/>
                  </a:prstGeom>
                  <a:noFill/>
                </pic:spPr>
              </pic:pic>
            </a:graphicData>
          </a:graphic>
        </wp:anchor>
      </w:drawing>
    </w:r>
    <w:r>
      <w:rPr>
        <w:color w:val="969696"/>
        <w:sz w:val="13"/>
      </w:rPr>
      <w:t>Performance Test Execution Closure Report</w:t>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9648" w:leader="none"/>
      </w:tabs>
      <w:jc w:val="start"/>
      <w:rPr/>
    </w:pPr>
    <w:r>
      <w:rPr/>
      <w:tab/>
    </w:r>
    <w:r>
      <w:drawing>
        <wp:anchor distT="0" distB="0" distL="0" distR="0" simplePos="0" relativeHeight="4" behindDoc="0" locked="0" layoutInCell="0" allowOverlap="1">
          <wp:simplePos x="0" y="0"/>
          <wp:positionH relativeFrom="column">
            <wp:posOffset>5177155</wp:posOffset>
          </wp:positionH>
          <wp:positionV relativeFrom="paragraph">
            <wp:posOffset>-140970</wp:posOffset>
          </wp:positionV>
          <wp:extent cx="1298575" cy="433070"/>
          <wp:effectExtent l="0" t="0" r="0" b="0"/>
          <wp:wrapSquare wrapText="largest"/>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1"/>
                  <a:stretch>
                    <a:fillRect/>
                  </a:stretch>
                </pic:blipFill>
                <pic:spPr bwMode="auto">
                  <a:xfrm>
                    <a:off x="0" y="0"/>
                    <a:ext cx="1298575" cy="433070"/>
                  </a:xfrm>
                  <a:prstGeom prst="rect">
                    <a:avLst/>
                  </a:prstGeom>
                  <a:noFill/>
                </pic:spPr>
              </pic:pic>
            </a:graphicData>
          </a:graphic>
        </wp:anchor>
      </w:drawing>
    </w:r>
    <w:r>
      <w:rPr>
        <w:color w:val="969696"/>
        <w:sz w:val="13"/>
      </w:rPr>
      <w:t>Performance Test Execution Closure Report</w:t>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isLgl/>
      <w:lvlText w:val="%1."/>
      <w:lvlJc w:val="start"/>
      <w:pPr>
        <w:tabs>
          <w:tab w:val="num" w:pos="360"/>
        </w:tabs>
        <w:ind w:start="360" w:hanging="360"/>
      </w:pPr>
      <w:rPr/>
    </w:lvl>
    <w:lvl w:ilvl="1">
      <w:start w:val="1"/>
      <w:numFmt w:val="bullet"/>
      <w:isLgl/>
      <w:lvlText w:val="o"/>
      <w:lvlJc w:val="start"/>
      <w:pPr>
        <w:tabs>
          <w:tab w:val="num" w:pos="1080"/>
        </w:tabs>
        <w:ind w:start="1080" w:hanging="360"/>
      </w:pPr>
      <w:rPr>
        <w:rFonts w:ascii="Courier New" w:hAnsi="Courier New" w:cs="Courier New" w:hint="default"/>
        <w:sz w:val="20"/>
      </w:rPr>
    </w:lvl>
    <w:lvl w:ilvl="2">
      <w:start w:val="1"/>
      <w:numFmt w:val="decimal"/>
      <w:isLgl/>
      <w:lvlText w:val="%3."/>
      <w:lvlJc w:val="start"/>
      <w:pPr>
        <w:tabs>
          <w:tab w:val="num" w:pos="1800"/>
        </w:tabs>
        <w:ind w:start="1800" w:hanging="360"/>
      </w:pPr>
      <w:rPr/>
    </w:lvl>
    <w:lvl w:ilvl="3">
      <w:start w:val="1"/>
      <w:numFmt w:val="decimal"/>
      <w:isLgl/>
      <w:lvlText w:val="%4."/>
      <w:lvlJc w:val="start"/>
      <w:pPr>
        <w:tabs>
          <w:tab w:val="num" w:pos="2520"/>
        </w:tabs>
        <w:ind w:start="2520" w:hanging="360"/>
      </w:pPr>
      <w:rPr/>
    </w:lvl>
    <w:lvl w:ilvl="4">
      <w:start w:val="1"/>
      <w:numFmt w:val="decimal"/>
      <w:isLgl/>
      <w:lvlText w:val="%5."/>
      <w:lvlJc w:val="start"/>
      <w:pPr>
        <w:tabs>
          <w:tab w:val="num" w:pos="3240"/>
        </w:tabs>
        <w:ind w:start="3240" w:hanging="360"/>
      </w:pPr>
      <w:rPr/>
    </w:lvl>
    <w:lvl w:ilvl="5">
      <w:start w:val="1"/>
      <w:numFmt w:val="decimal"/>
      <w:isLgl/>
      <w:lvlText w:val="%6."/>
      <w:lvlJc w:val="start"/>
      <w:pPr>
        <w:tabs>
          <w:tab w:val="num" w:pos="3960"/>
        </w:tabs>
        <w:ind w:start="3960" w:hanging="360"/>
      </w:pPr>
      <w:rPr/>
    </w:lvl>
    <w:lvl w:ilvl="6">
      <w:start w:val="1"/>
      <w:numFmt w:val="decimal"/>
      <w:isLgl/>
      <w:lvlText w:val="%7."/>
      <w:lvlJc w:val="start"/>
      <w:pPr>
        <w:tabs>
          <w:tab w:val="num" w:pos="4680"/>
        </w:tabs>
        <w:ind w:start="4680" w:hanging="360"/>
      </w:pPr>
      <w:rPr/>
    </w:lvl>
    <w:lvl w:ilvl="7">
      <w:start w:val="1"/>
      <w:numFmt w:val="decimal"/>
      <w:isLgl/>
      <w:lvlText w:val="%8."/>
      <w:lvlJc w:val="start"/>
      <w:pPr>
        <w:tabs>
          <w:tab w:val="num" w:pos="5400"/>
        </w:tabs>
        <w:ind w:start="5400" w:hanging="360"/>
      </w:pPr>
      <w:rPr/>
    </w:lvl>
    <w:lvl w:ilvl="8">
      <w:start w:val="1"/>
      <w:numFmt w:val="decimal"/>
      <w:isLgl/>
      <w:lvlText w:val="%9."/>
      <w:lvlJc w:val="start"/>
      <w:pPr>
        <w:tabs>
          <w:tab w:val="num" w:pos="6120"/>
        </w:tabs>
        <w:ind w:start="6120" w:hanging="360"/>
      </w:pPr>
      <w:rPr/>
    </w:lvl>
  </w:abstractNum>
  <w:abstractNum w:abstractNumId="8">
    <w:lvl w:ilvl="0">
      <w:start w:val="1"/>
      <w:numFmt w:val="bullet"/>
      <w:isLgl/>
      <w:lvlText w:val=""/>
      <w:lvlJc w:val="start"/>
      <w:pPr>
        <w:tabs>
          <w:tab w:val="num" w:pos="720"/>
        </w:tabs>
        <w:ind w:start="720" w:hanging="360"/>
      </w:pPr>
      <w:rPr>
        <w:rFonts w:ascii="Symbol" w:hAnsi="Symbol" w:cs="Symbol" w:hint="default"/>
        <w:sz w:val="20"/>
      </w:rPr>
    </w:lvl>
    <w:lvl w:ilvl="1">
      <w:start w:val="1"/>
      <w:numFmt w:val="bullet"/>
      <w:isLgl/>
      <w:lvlText w:val="o"/>
      <w:lvlJc w:val="start"/>
      <w:pPr>
        <w:tabs>
          <w:tab w:val="num" w:pos="1440"/>
        </w:tabs>
        <w:ind w:start="1440" w:hanging="360"/>
      </w:pPr>
      <w:rPr>
        <w:rFonts w:ascii="Courier New" w:hAnsi="Courier New" w:cs="Courier New" w:hint="default"/>
        <w:sz w:val="20"/>
      </w:rPr>
    </w:lvl>
    <w:lvl w:ilvl="2">
      <w:start w:val="1"/>
      <w:numFmt w:val="bullet"/>
      <w:isLgl/>
      <w:lvlText w:val=""/>
      <w:lvlJc w:val="start"/>
      <w:pPr>
        <w:tabs>
          <w:tab w:val="num" w:pos="2160"/>
        </w:tabs>
        <w:ind w:start="2160" w:hanging="360"/>
      </w:pPr>
      <w:rPr>
        <w:rFonts w:ascii="Wingdings" w:hAnsi="Wingdings" w:cs="Wingdings" w:hint="default"/>
        <w:sz w:val="20"/>
      </w:rPr>
    </w:lvl>
    <w:lvl w:ilvl="3">
      <w:start w:val="1"/>
      <w:numFmt w:val="bullet"/>
      <w:isLgl/>
      <w:lvlText w:val=""/>
      <w:lvlJc w:val="start"/>
      <w:pPr>
        <w:tabs>
          <w:tab w:val="num" w:pos="2880"/>
        </w:tabs>
        <w:ind w:start="2880" w:hanging="360"/>
      </w:pPr>
      <w:rPr>
        <w:rFonts w:ascii="Wingdings" w:hAnsi="Wingdings" w:cs="Wingdings" w:hint="default"/>
        <w:sz w:val="20"/>
      </w:rPr>
    </w:lvl>
    <w:lvl w:ilvl="4">
      <w:start w:val="1"/>
      <w:numFmt w:val="bullet"/>
      <w:isLgl/>
      <w:lvlText w:val=""/>
      <w:lvlJc w:val="start"/>
      <w:pPr>
        <w:tabs>
          <w:tab w:val="num" w:pos="3600"/>
        </w:tabs>
        <w:ind w:start="3600" w:hanging="360"/>
      </w:pPr>
      <w:rPr>
        <w:rFonts w:ascii="Wingdings" w:hAnsi="Wingdings" w:cs="Wingdings" w:hint="default"/>
        <w:sz w:val="20"/>
      </w:rPr>
    </w:lvl>
    <w:lvl w:ilvl="5">
      <w:start w:val="1"/>
      <w:numFmt w:val="bullet"/>
      <w:isLgl/>
      <w:lvlText w:val=""/>
      <w:lvlJc w:val="start"/>
      <w:pPr>
        <w:tabs>
          <w:tab w:val="num" w:pos="4320"/>
        </w:tabs>
        <w:ind w:start="4320" w:hanging="360"/>
      </w:pPr>
      <w:rPr>
        <w:rFonts w:ascii="Wingdings" w:hAnsi="Wingdings" w:cs="Wingdings" w:hint="default"/>
        <w:sz w:val="20"/>
      </w:rPr>
    </w:lvl>
    <w:lvl w:ilvl="6">
      <w:start w:val="1"/>
      <w:numFmt w:val="bullet"/>
      <w:isLgl/>
      <w:lvlText w:val=""/>
      <w:lvlJc w:val="start"/>
      <w:pPr>
        <w:tabs>
          <w:tab w:val="num" w:pos="5040"/>
        </w:tabs>
        <w:ind w:start="5040" w:hanging="360"/>
      </w:pPr>
      <w:rPr>
        <w:rFonts w:ascii="Wingdings" w:hAnsi="Wingdings" w:cs="Wingdings" w:hint="default"/>
        <w:sz w:val="20"/>
      </w:rPr>
    </w:lvl>
    <w:lvl w:ilvl="7">
      <w:start w:val="1"/>
      <w:numFmt w:val="bullet"/>
      <w:isLgl/>
      <w:lvlText w:val=""/>
      <w:lvlJc w:val="start"/>
      <w:pPr>
        <w:tabs>
          <w:tab w:val="num" w:pos="5760"/>
        </w:tabs>
        <w:ind w:start="5760" w:hanging="360"/>
      </w:pPr>
      <w:rPr>
        <w:rFonts w:ascii="Wingdings" w:hAnsi="Wingdings" w:cs="Wingdings" w:hint="default"/>
        <w:sz w:val="20"/>
      </w:rPr>
    </w:lvl>
    <w:lvl w:ilvl="8">
      <w:start w:val="1"/>
      <w:numFmt w:val="bullet"/>
      <w:isLgl/>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isLgl/>
      <w:lvlText w:val=""/>
      <w:lvlJc w:val="start"/>
      <w:pPr>
        <w:tabs>
          <w:tab w:val="num" w:pos="720"/>
        </w:tabs>
        <w:ind w:start="720" w:hanging="360"/>
      </w:pPr>
      <w:rPr>
        <w:rFonts w:ascii="Wingdings" w:hAnsi="Wingdings" w:cs="Wingdings" w:hint="default"/>
        <w:sz w:val="20"/>
      </w:rPr>
    </w:lvl>
    <w:lvl w:ilvl="1">
      <w:start w:val="1"/>
      <w:numFmt w:val="bullet"/>
      <w:isLgl/>
      <w:lvlText w:val="o"/>
      <w:lvlJc w:val="start"/>
      <w:pPr>
        <w:tabs>
          <w:tab w:val="num" w:pos="1440"/>
        </w:tabs>
        <w:ind w:start="1440" w:hanging="360"/>
      </w:pPr>
      <w:rPr>
        <w:rFonts w:ascii="Courier New" w:hAnsi="Courier New" w:cs="Courier New" w:hint="default"/>
        <w:sz w:val="20"/>
      </w:rPr>
    </w:lvl>
    <w:lvl w:ilvl="2">
      <w:start w:val="1"/>
      <w:numFmt w:val="bullet"/>
      <w:isLgl/>
      <w:lvlText w:val=""/>
      <w:lvlJc w:val="start"/>
      <w:pPr>
        <w:tabs>
          <w:tab w:val="num" w:pos="2160"/>
        </w:tabs>
        <w:ind w:start="2160" w:hanging="360"/>
      </w:pPr>
      <w:rPr>
        <w:rFonts w:ascii="Wingdings" w:hAnsi="Wingdings" w:cs="Wingdings" w:hint="default"/>
        <w:sz w:val="20"/>
      </w:rPr>
    </w:lvl>
    <w:lvl w:ilvl="3">
      <w:start w:val="1"/>
      <w:numFmt w:val="bullet"/>
      <w:isLgl/>
      <w:lvlText w:val=""/>
      <w:lvlJc w:val="start"/>
      <w:pPr>
        <w:tabs>
          <w:tab w:val="num" w:pos="2880"/>
        </w:tabs>
        <w:ind w:start="2880" w:hanging="360"/>
      </w:pPr>
      <w:rPr>
        <w:rFonts w:ascii="Wingdings" w:hAnsi="Wingdings" w:cs="Wingdings" w:hint="default"/>
        <w:sz w:val="20"/>
      </w:rPr>
    </w:lvl>
    <w:lvl w:ilvl="4">
      <w:start w:val="1"/>
      <w:numFmt w:val="bullet"/>
      <w:isLgl/>
      <w:lvlText w:val=""/>
      <w:lvlJc w:val="start"/>
      <w:pPr>
        <w:tabs>
          <w:tab w:val="num" w:pos="3600"/>
        </w:tabs>
        <w:ind w:start="3600" w:hanging="360"/>
      </w:pPr>
      <w:rPr>
        <w:rFonts w:ascii="Wingdings" w:hAnsi="Wingdings" w:cs="Wingdings" w:hint="default"/>
        <w:sz w:val="20"/>
      </w:rPr>
    </w:lvl>
    <w:lvl w:ilvl="5">
      <w:start w:val="1"/>
      <w:numFmt w:val="bullet"/>
      <w:isLgl/>
      <w:lvlText w:val=""/>
      <w:lvlJc w:val="start"/>
      <w:pPr>
        <w:tabs>
          <w:tab w:val="num" w:pos="4320"/>
        </w:tabs>
        <w:ind w:start="4320" w:hanging="360"/>
      </w:pPr>
      <w:rPr>
        <w:rFonts w:ascii="Wingdings" w:hAnsi="Wingdings" w:cs="Wingdings" w:hint="default"/>
        <w:sz w:val="20"/>
      </w:rPr>
    </w:lvl>
    <w:lvl w:ilvl="6">
      <w:start w:val="1"/>
      <w:numFmt w:val="bullet"/>
      <w:isLgl/>
      <w:lvlText w:val=""/>
      <w:lvlJc w:val="start"/>
      <w:pPr>
        <w:tabs>
          <w:tab w:val="num" w:pos="5040"/>
        </w:tabs>
        <w:ind w:start="5040" w:hanging="360"/>
      </w:pPr>
      <w:rPr>
        <w:rFonts w:ascii="Wingdings" w:hAnsi="Wingdings" w:cs="Wingdings" w:hint="default"/>
        <w:sz w:val="20"/>
      </w:rPr>
    </w:lvl>
    <w:lvl w:ilvl="7">
      <w:start w:val="1"/>
      <w:numFmt w:val="bullet"/>
      <w:isLgl/>
      <w:lvlText w:val=""/>
      <w:lvlJc w:val="start"/>
      <w:pPr>
        <w:tabs>
          <w:tab w:val="num" w:pos="5760"/>
        </w:tabs>
        <w:ind w:start="5760" w:hanging="360"/>
      </w:pPr>
      <w:rPr>
        <w:rFonts w:ascii="Wingdings" w:hAnsi="Wingdings" w:cs="Wingdings" w:hint="default"/>
        <w:sz w:val="20"/>
      </w:rPr>
    </w:lvl>
    <w:lvl w:ilvl="8">
      <w:start w:val="1"/>
      <w:numFmt w:val="bullet"/>
      <w:isLgl/>
      <w:lvlText w:val=""/>
      <w:lvlJc w:val="start"/>
      <w:pPr>
        <w:tabs>
          <w:tab w:val="num" w:pos="6480"/>
        </w:tabs>
        <w:ind w:start="6480" w:hanging="360"/>
      </w:pPr>
      <w:rPr>
        <w:rFonts w:ascii="Wingdings" w:hAnsi="Wingdings" w:cs="Wingdings" w:hint="default"/>
        <w:sz w:val="20"/>
      </w:rPr>
    </w:lvl>
  </w:abstractNum>
  <w:abstractNum w:abstractNumId="10">
    <w:lvl w:ilvl="0">
      <w:start w:val="1"/>
      <w:numFmt w:val="decimal"/>
      <w:isLgl/>
      <w:lvlText w:val="%1."/>
      <w:lvlJc w:val="start"/>
      <w:pPr>
        <w:tabs>
          <w:tab w:val="num" w:pos="0"/>
        </w:tabs>
        <w:ind w:start="720" w:hanging="360"/>
      </w:pPr>
      <w:rPr/>
    </w:lvl>
    <w:lvl w:ilvl="1">
      <w:start w:val="1"/>
      <w:numFmt w:val="lowerLetter"/>
      <w:isLgl/>
      <w:lvlText w:val="%2."/>
      <w:lvlJc w:val="start"/>
      <w:pPr>
        <w:tabs>
          <w:tab w:val="num" w:pos="0"/>
        </w:tabs>
        <w:ind w:start="1440" w:hanging="360"/>
      </w:pPr>
      <w:rPr/>
    </w:lvl>
    <w:lvl w:ilvl="2">
      <w:start w:val="1"/>
      <w:numFmt w:val="lowerRoman"/>
      <w:isLgl/>
      <w:lvlText w:val="%3."/>
      <w:lvlJc w:val="end"/>
      <w:pPr>
        <w:tabs>
          <w:tab w:val="num" w:pos="0"/>
        </w:tabs>
        <w:ind w:start="2160" w:hanging="180"/>
      </w:pPr>
      <w:rPr/>
    </w:lvl>
    <w:lvl w:ilvl="3">
      <w:start w:val="1"/>
      <w:numFmt w:val="decimal"/>
      <w:isLgl/>
      <w:lvlText w:val="%4."/>
      <w:lvlJc w:val="start"/>
      <w:pPr>
        <w:tabs>
          <w:tab w:val="num" w:pos="0"/>
        </w:tabs>
        <w:ind w:start="2880" w:hanging="360"/>
      </w:pPr>
      <w:rPr/>
    </w:lvl>
    <w:lvl w:ilvl="4">
      <w:start w:val="1"/>
      <w:numFmt w:val="lowerLetter"/>
      <w:isLgl/>
      <w:lvlText w:val="%5."/>
      <w:lvlJc w:val="start"/>
      <w:pPr>
        <w:tabs>
          <w:tab w:val="num" w:pos="0"/>
        </w:tabs>
        <w:ind w:start="3600" w:hanging="360"/>
      </w:pPr>
      <w:rPr/>
    </w:lvl>
    <w:lvl w:ilvl="5">
      <w:start w:val="1"/>
      <w:numFmt w:val="lowerRoman"/>
      <w:isLgl/>
      <w:lvlText w:val="%6."/>
      <w:lvlJc w:val="end"/>
      <w:pPr>
        <w:tabs>
          <w:tab w:val="num" w:pos="0"/>
        </w:tabs>
        <w:ind w:start="4320" w:hanging="180"/>
      </w:pPr>
      <w:rPr/>
    </w:lvl>
    <w:lvl w:ilvl="6">
      <w:start w:val="1"/>
      <w:numFmt w:val="decimal"/>
      <w:isLgl/>
      <w:lvlText w:val="%7."/>
      <w:lvlJc w:val="start"/>
      <w:pPr>
        <w:tabs>
          <w:tab w:val="num" w:pos="0"/>
        </w:tabs>
        <w:ind w:start="5040" w:hanging="360"/>
      </w:pPr>
      <w:rPr/>
    </w:lvl>
    <w:lvl w:ilvl="7">
      <w:start w:val="1"/>
      <w:numFmt w:val="lowerLetter"/>
      <w:isLgl/>
      <w:lvlText w:val="%8."/>
      <w:lvlJc w:val="start"/>
      <w:pPr>
        <w:tabs>
          <w:tab w:val="num" w:pos="0"/>
        </w:tabs>
        <w:ind w:start="5760" w:hanging="360"/>
      </w:pPr>
      <w:rPr/>
    </w:lvl>
    <w:lvl w:ilvl="8">
      <w:start w:val="1"/>
      <w:numFmt w:val="lowerRoman"/>
      <w:isLgl/>
      <w:lvlText w:val="%9."/>
      <w:lvlJc w:val="end"/>
      <w:pPr>
        <w:tabs>
          <w:tab w:val="num" w:pos="0"/>
        </w:tabs>
        <w:ind w:start="6480" w:hanging="180"/>
      </w:pPr>
      <w:rPr/>
    </w:lvl>
  </w:abstractNum>
  <w:abstractNum w:abstractNumId="11">
    <w:lvl w:ilvl="0">
      <w:start w:val="1"/>
      <w:numFmt w:val="decimal"/>
      <w:isLgl/>
      <w:lvlText w:val="%1."/>
      <w:lvlJc w:val="start"/>
      <w:pPr>
        <w:tabs>
          <w:tab w:val="num" w:pos="0"/>
        </w:tabs>
        <w:ind w:start="360" w:hanging="360"/>
      </w:pPr>
      <w:rPr/>
    </w:lvl>
    <w:lvl w:ilvl="1">
      <w:start w:val="1"/>
      <w:numFmt w:val="lowerLetter"/>
      <w:isLgl/>
      <w:lvlText w:val="%2."/>
      <w:lvlJc w:val="start"/>
      <w:pPr>
        <w:tabs>
          <w:tab w:val="num" w:pos="0"/>
        </w:tabs>
        <w:ind w:start="1080" w:hanging="360"/>
      </w:pPr>
      <w:rPr/>
    </w:lvl>
    <w:lvl w:ilvl="2">
      <w:start w:val="1"/>
      <w:numFmt w:val="lowerRoman"/>
      <w:isLgl/>
      <w:lvlText w:val="%3."/>
      <w:lvlJc w:val="end"/>
      <w:pPr>
        <w:tabs>
          <w:tab w:val="num" w:pos="0"/>
        </w:tabs>
        <w:ind w:start="1800" w:hanging="180"/>
      </w:pPr>
      <w:rPr/>
    </w:lvl>
    <w:lvl w:ilvl="3">
      <w:start w:val="1"/>
      <w:numFmt w:val="decimal"/>
      <w:isLgl/>
      <w:lvlText w:val="%4."/>
      <w:lvlJc w:val="start"/>
      <w:pPr>
        <w:tabs>
          <w:tab w:val="num" w:pos="0"/>
        </w:tabs>
        <w:ind w:start="2520" w:hanging="360"/>
      </w:pPr>
      <w:rPr/>
    </w:lvl>
    <w:lvl w:ilvl="4">
      <w:start w:val="1"/>
      <w:numFmt w:val="lowerLetter"/>
      <w:isLgl/>
      <w:lvlText w:val="%5."/>
      <w:lvlJc w:val="start"/>
      <w:pPr>
        <w:tabs>
          <w:tab w:val="num" w:pos="0"/>
        </w:tabs>
        <w:ind w:start="3240" w:hanging="360"/>
      </w:pPr>
      <w:rPr/>
    </w:lvl>
    <w:lvl w:ilvl="5">
      <w:start w:val="1"/>
      <w:numFmt w:val="lowerRoman"/>
      <w:isLgl/>
      <w:lvlText w:val="%6."/>
      <w:lvlJc w:val="end"/>
      <w:pPr>
        <w:tabs>
          <w:tab w:val="num" w:pos="0"/>
        </w:tabs>
        <w:ind w:start="3960" w:hanging="180"/>
      </w:pPr>
      <w:rPr/>
    </w:lvl>
    <w:lvl w:ilvl="6">
      <w:start w:val="1"/>
      <w:numFmt w:val="decimal"/>
      <w:isLgl/>
      <w:lvlText w:val="%7."/>
      <w:lvlJc w:val="start"/>
      <w:pPr>
        <w:tabs>
          <w:tab w:val="num" w:pos="0"/>
        </w:tabs>
        <w:ind w:start="4680" w:hanging="360"/>
      </w:pPr>
      <w:rPr/>
    </w:lvl>
    <w:lvl w:ilvl="7">
      <w:start w:val="1"/>
      <w:numFmt w:val="lowerLetter"/>
      <w:isLgl/>
      <w:lvlText w:val="%8."/>
      <w:lvlJc w:val="start"/>
      <w:pPr>
        <w:tabs>
          <w:tab w:val="num" w:pos="0"/>
        </w:tabs>
        <w:ind w:start="5400" w:hanging="360"/>
      </w:pPr>
      <w:rPr/>
    </w:lvl>
    <w:lvl w:ilvl="8">
      <w:start w:val="1"/>
      <w:numFmt w:val="lowerRoman"/>
      <w:isLgl/>
      <w:lvlText w:val="%9."/>
      <w:lvlJc w:val="end"/>
      <w:pPr>
        <w:tabs>
          <w:tab w:val="num" w:pos="0"/>
        </w:tabs>
        <w:ind w:start="6120" w:hanging="180"/>
      </w:pPr>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89"/>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2" w:before="0" w:after="80"/>
      <w:jc w:val="start"/>
    </w:pPr>
    <w:rPr>
      <w:rFonts w:ascii="Arial" w:hAnsi="Arial" w:eastAsia="ＭＳ 明朝" w:cs="" w:cstheme="minorBidi" w:eastAsiaTheme="minorEastAsia"/>
      <w:color w:val="auto"/>
      <w:kern w:val="0"/>
      <w:sz w:val="17"/>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40" w:after="80"/>
      <w:outlineLvl w:val="0"/>
    </w:pPr>
    <w:rPr>
      <w:rFonts w:ascii="Calibri" w:hAnsi="Calibri" w:eastAsia="ＭＳ ゴシック" w:cs="" w:asciiTheme="majorHAnsi" w:cstheme="majorBidi" w:eastAsiaTheme="majorEastAsia" w:hAnsiTheme="majorHAnsi"/>
      <w:b/>
      <w:bCs/>
      <w:color w:val="4A90E2"/>
      <w:sz w:val="24"/>
      <w:szCs w:val="28"/>
    </w:rPr>
  </w:style>
  <w:style w:type="paragraph" w:styleId="Heading2">
    <w:name w:val="heading 2"/>
    <w:basedOn w:val="Normal"/>
    <w:next w:val="Normal"/>
    <w:link w:val="Heading2Char"/>
    <w:uiPriority w:val="9"/>
    <w:unhideWhenUsed/>
    <w:qFormat/>
    <w:rsid w:val="00fc693f"/>
    <w:pPr>
      <w:keepNext w:val="true"/>
      <w:keepLines/>
      <w:spacing w:before="140" w:after="80"/>
      <w:outlineLvl w:val="1"/>
    </w:pPr>
    <w:rPr>
      <w:rFonts w:ascii="Calibri" w:hAnsi="Calibri" w:eastAsia="ＭＳ ゴシック" w:cs="" w:asciiTheme="majorHAnsi" w:cstheme="majorBidi" w:eastAsiaTheme="majorEastAsia" w:hAnsiTheme="majorHAnsi"/>
      <w:b/>
      <w:bCs/>
      <w:color w:val="4A90E2"/>
      <w:sz w:val="21"/>
      <w:szCs w:val="26"/>
    </w:rPr>
  </w:style>
  <w:style w:type="paragraph" w:styleId="Heading3">
    <w:name w:val="heading 3"/>
    <w:basedOn w:val="Normal"/>
    <w:next w:val="Normal"/>
    <w:link w:val="Heading3Char"/>
    <w:uiPriority w:val="9"/>
    <w:unhideWhenUsed/>
    <w:qFormat/>
    <w:rsid w:val="00fc693f"/>
    <w:pPr>
      <w:keepNext w:val="true"/>
      <w:keepLines/>
      <w:spacing w:before="140" w:after="80"/>
      <w:outlineLvl w:val="2"/>
    </w:pPr>
    <w:rPr>
      <w:rFonts w:ascii="Calibri" w:hAnsi="Calibri" w:eastAsia="ＭＳ ゴシック" w:cs="" w:asciiTheme="majorHAnsi" w:cstheme="majorBidi" w:eastAsiaTheme="majorEastAsia" w:hAnsiTheme="majorHAnsi"/>
      <w:b/>
      <w:bCs/>
      <w:color w:val="4A90E2"/>
      <w:sz w:val="19"/>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40" w:after="80"/>
      <w:contextualSpacing/>
    </w:pPr>
    <w:rPr>
      <w:rFonts w:ascii="Calibri" w:hAnsi="Calibri" w:eastAsia="ＭＳ ゴシック" w:cs="" w:asciiTheme="majorHAnsi" w:cstheme="majorBidi" w:eastAsiaTheme="majorEastAsia" w:hAnsiTheme="majorHAnsi"/>
      <w:b/>
      <w:color w:val="4A90E2"/>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835" w:leader="dot"/>
      </w:tabs>
      <w:ind w:hanging="0" w:start="0"/>
    </w:pPr>
    <w:rPr/>
  </w:style>
  <w:style w:type="paragraph" w:styleId="TOC2">
    <w:name w:val="toc 2"/>
    <w:basedOn w:val="Index"/>
    <w:pPr>
      <w:tabs>
        <w:tab w:val="clear" w:pos="720"/>
        <w:tab w:val="right" w:pos="9552" w:leader="dot"/>
      </w:tabs>
      <w:ind w:hanging="0" w:start="283"/>
    </w:pPr>
    <w:rPr/>
  </w:style>
  <w:style w:type="paragraph" w:styleId="TOC3">
    <w:name w:val="toc 3"/>
    <w:basedOn w:val="Index"/>
    <w:pPr>
      <w:tabs>
        <w:tab w:val="clear" w:pos="720"/>
        <w:tab w:val="right" w:pos="9268" w:leader="dot"/>
      </w:tabs>
      <w:ind w:hanging="0" w:start="567"/>
    </w:pPr>
    <w:rPr/>
  </w:style>
  <w:style w:type="paragraph" w:styleId="HeadlineLevel1">
    <w:name w:val="Headline Level 1"/>
    <w:basedOn w:val="Heading1"/>
    <w:next w:val="Normal"/>
    <w:qFormat/>
    <w:pPr>
      <w:pBdr>
        <w:left w:val="single" w:sz="12" w:space="12" w:color="E97132" w:themeColor="accent2"/>
      </w:pBdr>
      <w:spacing w:lineRule="auto" w:line="360" w:before="0" w:after="0"/>
    </w:pPr>
    <w:rPr>
      <w:caps/>
      <w:color w:val="auto"/>
      <w:spacing w:val="10"/>
      <w:sz w:val="36"/>
      <w:szCs w:val="36"/>
      <w:lang w:val="en-US" w:eastAsia="ja-JP"/>
      <w14:ligatures w14:val="none"/>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1.png"/>
</Relationships>
</file>

<file path=word/_rels/header3.xml.rels><?xml version="1.0" encoding="UTF-8"?>
<Relationships xmlns="http://schemas.openxmlformats.org/package/2006/relationships"><Relationship Id="rId1" Type="http://schemas.openxmlformats.org/officeDocument/2006/relationships/image" Target="media/image1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Application>LibreOffice/26.2.5.2$Windows_X86_64 LibreOffice_project/cd7284b4cbbfeb507e630c1aac019f4157393acb</Application>
  <AppVersion>15.0000</AppVersion>
  <Pages>8</Pages>
  <Words>653</Words>
  <Characters>3792</Characters>
  <CharactersWithSpaces>4347</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2026-09-29T18:26:16Z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