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f8nvy7tptx3" w:id="0"/>
      <w:bookmarkEnd w:id="0"/>
      <w:r w:rsidDel="00000000" w:rsidR="00000000" w:rsidRPr="00000000">
        <w:rPr>
          <w:rtl w:val="0"/>
        </w:rPr>
        <w:t xml:space="preserve">Study Guide: Module 1 Fundamentals</w:t>
      </w:r>
    </w:p>
    <w:p w:rsidR="00000000" w:rsidDel="00000000" w:rsidP="00000000" w:rsidRDefault="00000000" w:rsidRPr="00000000" w14:paraId="00000002">
      <w:pPr>
        <w:pStyle w:val="Heading4"/>
        <w:rPr/>
      </w:pPr>
      <w:bookmarkStart w:colFirst="0" w:colLast="0" w:name="_a38u3j22xxm2" w:id="1"/>
      <w:bookmarkEnd w:id="1"/>
      <w:r w:rsidDel="00000000" w:rsidR="00000000" w:rsidRPr="00000000">
        <w:rPr>
          <w:rtl w:val="0"/>
        </w:rPr>
        <w:t xml:space="preserve">1. Decision Architecture and Execution</w:t>
      </w:r>
    </w:p>
    <w:p w:rsidR="00000000" w:rsidDel="00000000" w:rsidP="00000000" w:rsidRDefault="00000000" w:rsidRPr="00000000" w14:paraId="00000003">
      <w:pPr>
        <w:rPr/>
      </w:pPr>
      <w:r w:rsidDel="00000000" w:rsidR="00000000" w:rsidRPr="00000000">
        <w:rPr>
          <w:rtl w:val="0"/>
        </w:rPr>
        <w:t xml:space="preserve">The efficacy of organizational decision-making is predicated on the calibration of analytical rigor to the architecture of reversibility. By standardizing the cognitive logic used to reach and commit to outcomes, a firm can achieve superior velocity without eroding the quality of its strategic commitments.</w:t>
      </w:r>
    </w:p>
    <w:p w:rsidR="00000000" w:rsidDel="00000000" w:rsidP="00000000" w:rsidRDefault="00000000" w:rsidRPr="00000000" w14:paraId="00000004">
      <w:pPr>
        <w:pStyle w:val="Heading5"/>
        <w:rPr/>
      </w:pPr>
      <w:bookmarkStart w:colFirst="0" w:colLast="0" w:name="_pp299vr4l6wy" w:id="2"/>
      <w:bookmarkEnd w:id="2"/>
      <w:r w:rsidDel="00000000" w:rsidR="00000000" w:rsidRPr="00000000">
        <w:rPr>
          <w:rtl w:val="0"/>
        </w:rPr>
        <w:t xml:space="preserve">The Decision Quality Six</w:t>
      </w:r>
    </w:p>
    <w:p w:rsidR="00000000" w:rsidDel="00000000" w:rsidP="00000000" w:rsidRDefault="00000000" w:rsidRPr="00000000" w14:paraId="00000005">
      <w:pPr>
        <w:rPr/>
      </w:pPr>
      <w:r w:rsidDel="00000000" w:rsidR="00000000" w:rsidRPr="00000000">
        <w:rPr>
          <w:rtl w:val="0"/>
        </w:rPr>
        <w:t xml:space="preserve">A high-quality decision is not determined by its outcome, which is subject to variance, but by the integrity of its construction. High-quality decisions incorporate six distinct elements: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Frame:</w:t>
      </w:r>
      <w:r w:rsidDel="00000000" w:rsidR="00000000" w:rsidRPr="00000000">
        <w:rPr>
          <w:rtl w:val="0"/>
        </w:rPr>
        <w:t xml:space="preserve">  Defining the correct problem and establishing an appropriate boundary for the inquiry.</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Alternatives:</w:t>
      </w:r>
      <w:r w:rsidDel="00000000" w:rsidR="00000000" w:rsidRPr="00000000">
        <w:rPr>
          <w:rtl w:val="0"/>
        </w:rPr>
        <w:t xml:space="preserve">  The rigorous evaluation of at least three distinct paths, specifically including the "status quo" or "do nothing" option.</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Information:</w:t>
      </w:r>
      <w:r w:rsidDel="00000000" w:rsidR="00000000" w:rsidRPr="00000000">
        <w:rPr>
          <w:rtl w:val="0"/>
        </w:rPr>
        <w:t xml:space="preserve">  Synthesizing relevant data while maintaining an honest accounting of existing uncertainties.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Values:</w:t>
      </w:r>
      <w:r w:rsidDel="00000000" w:rsidR="00000000" w:rsidRPr="00000000">
        <w:rPr>
          <w:rtl w:val="0"/>
        </w:rPr>
        <w:t xml:space="preserve">  The explicit articulation of trade-offs between competing priorities.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Logic:</w:t>
      </w:r>
      <w:r w:rsidDel="00000000" w:rsidR="00000000" w:rsidRPr="00000000">
        <w:rPr>
          <w:rtl w:val="0"/>
        </w:rPr>
        <w:t xml:space="preserve">  The application of sound reasoning to ensure the conclusion follows the premises—this serves as the intellectual prerequisite for subsequent organizational commitment.</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Ensuring proactive follow-through and resource allocation once a path is designated.</w:t>
      </w:r>
    </w:p>
    <w:p w:rsidR="00000000" w:rsidDel="00000000" w:rsidP="00000000" w:rsidRDefault="00000000" w:rsidRPr="00000000" w14:paraId="0000000C">
      <w:pPr>
        <w:pStyle w:val="Heading5"/>
        <w:rPr/>
      </w:pPr>
      <w:bookmarkStart w:colFirst="0" w:colLast="0" w:name="_jaxeo5k7zfn1" w:id="3"/>
      <w:bookmarkEnd w:id="3"/>
      <w:r w:rsidDel="00000000" w:rsidR="00000000" w:rsidRPr="00000000">
        <w:rPr>
          <w:rtl w:val="0"/>
        </w:rPr>
        <w:t xml:space="preserve">The Reversibility Test</w:t>
      </w:r>
    </w:p>
    <w:p w:rsidR="00000000" w:rsidDel="00000000" w:rsidP="00000000" w:rsidRDefault="00000000" w:rsidRPr="00000000" w14:paraId="0000000D">
      <w:pPr>
        <w:rPr/>
      </w:pPr>
      <w:r w:rsidDel="00000000" w:rsidR="00000000" w:rsidRPr="00000000">
        <w:rPr>
          <w:rtl w:val="0"/>
        </w:rPr>
        <w:t xml:space="preserve">The primary failure mode in modern organizations is the misapplication of high-stakes processes to low-stakes outcomes. Decisions must be categorized by their "door type" to determine ideal velocity.| Feature | Type 1 (One-Way Doors) | Type 2 (Two-Way Doors) || ------ | ------ | ------ || </w:t>
      </w:r>
      <w:r w:rsidDel="00000000" w:rsidR="00000000" w:rsidRPr="00000000">
        <w:rPr>
          <w:b w:val="1"/>
          <w:bCs w:val="1"/>
          <w:rtl w:val="0"/>
        </w:rPr>
        <w:t xml:space="preserve">Stakes</w:t>
      </w:r>
      <w:r w:rsidDel="00000000" w:rsidR="00000000" w:rsidRPr="00000000">
        <w:rPr>
          <w:rtl w:val="0"/>
        </w:rPr>
        <w:t xml:space="preserve"> | Irreversible; high consequence | Reversible; low consequence || </w:t>
      </w:r>
      <w:r w:rsidDel="00000000" w:rsidR="00000000" w:rsidRPr="00000000">
        <w:rPr>
          <w:b w:val="1"/>
          <w:bCs w:val="1"/>
          <w:rtl w:val="0"/>
        </w:rPr>
        <w:t xml:space="preserve">Evidence Requirements</w:t>
      </w:r>
      <w:r w:rsidDel="00000000" w:rsidR="00000000" w:rsidRPr="00000000">
        <w:rPr>
          <w:rtl w:val="0"/>
        </w:rPr>
        <w:t xml:space="preserve"> | Evidence-heavy; deliberate rigor | Judgment-led; experiential || </w:t>
      </w:r>
      <w:r w:rsidDel="00000000" w:rsidR="00000000" w:rsidRPr="00000000">
        <w:rPr>
          <w:b w:val="1"/>
          <w:bCs w:val="1"/>
          <w:rtl w:val="0"/>
        </w:rPr>
        <w:t xml:space="preserve">Ideal Speed</w:t>
      </w:r>
      <w:r w:rsidDel="00000000" w:rsidR="00000000" w:rsidRPr="00000000">
        <w:rPr>
          <w:rtl w:val="0"/>
        </w:rPr>
        <w:t xml:space="preserve"> | Calculated and cautious | Rapid and iterative || </w:t>
      </w:r>
      <w:r w:rsidDel="00000000" w:rsidR="00000000" w:rsidRPr="00000000">
        <w:rPr>
          <w:b w:val="1"/>
          <w:bCs w:val="1"/>
          <w:rtl w:val="0"/>
        </w:rPr>
        <w:t xml:space="preserve">Organizational Role</w:t>
      </w:r>
      <w:r w:rsidDel="00000000" w:rsidR="00000000" w:rsidRPr="00000000">
        <w:rPr>
          <w:rtl w:val="0"/>
        </w:rPr>
        <w:t xml:space="preserve"> | High-level deliberation | Decentralized "Amazon-style" speed |</w:t>
      </w:r>
    </w:p>
    <w:p w:rsidR="00000000" w:rsidDel="00000000" w:rsidP="00000000" w:rsidRDefault="00000000" w:rsidRPr="00000000" w14:paraId="0000000E">
      <w:pPr>
        <w:pStyle w:val="Heading5"/>
        <w:rPr/>
      </w:pPr>
      <w:bookmarkStart w:colFirst="0" w:colLast="0" w:name="_50m53ohcqyk8" w:id="4"/>
      <w:bookmarkEnd w:id="4"/>
      <w:r w:rsidDel="00000000" w:rsidR="00000000" w:rsidRPr="00000000">
        <w:rPr>
          <w:rtl w:val="0"/>
        </w:rPr>
        <w:t xml:space="preserve">The RAPID Framework</w:t>
      </w:r>
    </w:p>
    <w:p w:rsidR="00000000" w:rsidDel="00000000" w:rsidP="00000000" w:rsidRDefault="00000000" w:rsidRPr="00000000" w14:paraId="0000000F">
      <w:pPr>
        <w:rPr/>
      </w:pPr>
      <w:r w:rsidDel="00000000" w:rsidR="00000000" w:rsidRPr="00000000">
        <w:rPr>
          <w:rtl w:val="0"/>
        </w:rPr>
        <w:t xml:space="preserve">The RAPID model serves to de-risk decision execution by clarifying individual accountabilities: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Recommend:</w:t>
      </w:r>
      <w:r w:rsidDel="00000000" w:rsidR="00000000" w:rsidRPr="00000000">
        <w:rPr>
          <w:rtl w:val="0"/>
        </w:rPr>
        <w:t xml:space="preserve">  Proposing a specific course of action based on synthesized input.</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Agree:</w:t>
      </w:r>
      <w:r w:rsidDel="00000000" w:rsidR="00000000" w:rsidRPr="00000000">
        <w:rPr>
          <w:rtl w:val="0"/>
        </w:rPr>
        <w:t xml:space="preserve">  Providing formal concurrence with a recommendation.</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Perform:</w:t>
      </w:r>
      <w:r w:rsidDel="00000000" w:rsidR="00000000" w:rsidRPr="00000000">
        <w:rPr>
          <w:rtl w:val="0"/>
        </w:rPr>
        <w:t xml:space="preserve">  Executing the decision once finalized.</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Input:</w:t>
      </w:r>
      <w:r w:rsidDel="00000000" w:rsidR="00000000" w:rsidRPr="00000000">
        <w:rPr>
          <w:rtl w:val="0"/>
        </w:rPr>
        <w:t xml:space="preserve">  Providing the necessary facts and data to inform the "Recommend" phase.</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Decide:</w:t>
      </w:r>
      <w:r w:rsidDel="00000000" w:rsidR="00000000" w:rsidRPr="00000000">
        <w:rPr>
          <w:rtl w:val="0"/>
        </w:rPr>
        <w:t xml:space="preserve">  Making the final commitment. To ensure accountability, organizations must assign exactly  </w:t>
      </w:r>
      <w:r w:rsidDel="00000000" w:rsidR="00000000" w:rsidRPr="00000000">
        <w:rPr>
          <w:b w:val="1"/>
          <w:bCs w:val="1"/>
          <w:rtl w:val="0"/>
        </w:rPr>
        <w:t xml:space="preserve">one Decider per decision</w:t>
      </w:r>
      <w:r w:rsidDel="00000000" w:rsidR="00000000" w:rsidRPr="00000000">
        <w:rPr>
          <w:rtl w:val="0"/>
        </w:rPr>
        <w:t xml:space="preserve"> .</w:t>
      </w:r>
    </w:p>
    <w:p w:rsidR="00000000" w:rsidDel="00000000" w:rsidP="00000000" w:rsidRDefault="00000000" w:rsidRPr="00000000" w14:paraId="00000015">
      <w:pPr>
        <w:pStyle w:val="Heading5"/>
        <w:rPr/>
      </w:pPr>
      <w:bookmarkStart w:colFirst="0" w:colLast="0" w:name="_gcyuy591bnc8" w:id="5"/>
      <w:bookmarkEnd w:id="5"/>
      <w:r w:rsidDel="00000000" w:rsidR="00000000" w:rsidRPr="00000000">
        <w:rPr>
          <w:rtl w:val="0"/>
        </w:rPr>
        <w:t xml:space="preserve">Logic vs. Consensus</w:t>
      </w:r>
    </w:p>
    <w:p w:rsidR="00000000" w:rsidDel="00000000" w:rsidP="00000000" w:rsidRDefault="00000000" w:rsidRPr="00000000" w14:paraId="00000016">
      <w:pPr>
        <w:rPr/>
      </w:pPr>
      <w:r w:rsidDel="00000000" w:rsidR="00000000" w:rsidRPr="00000000">
        <w:rPr>
          <w:rtl w:val="0"/>
        </w:rPr>
        <w:t xml:space="preserve">Sound  </w:t>
      </w:r>
      <w:r w:rsidDel="00000000" w:rsidR="00000000" w:rsidRPr="00000000">
        <w:rPr>
          <w:b w:val="1"/>
          <w:bCs w:val="1"/>
          <w:rtl w:val="0"/>
        </w:rPr>
        <w:t xml:space="preserve">Logic</w:t>
      </w:r>
      <w:r w:rsidDel="00000000" w:rsidR="00000000" w:rsidRPr="00000000">
        <w:rPr>
          <w:rtl w:val="0"/>
        </w:rPr>
        <w:t xml:space="preserve">  (the fifth element of Decision Quality) must be prioritized over universal agreement. Fast-moving organizations utilize the "Disagree-and-Commit" principle. This framework dictates that once the designated Decider selects a path based on a clear logic-set, all stakeholders must fully commit to execution, regardless of their initial dissenting views. This eliminates the "consensus tax" that typically slows institutional progress.</w:t>
      </w:r>
    </w:p>
    <w:p w:rsidR="00000000" w:rsidDel="00000000" w:rsidP="00000000" w:rsidRDefault="00000000" w:rsidRPr="00000000" w14:paraId="00000017">
      <w:pPr>
        <w:pStyle w:val="Heading4"/>
        <w:rPr/>
      </w:pPr>
      <w:bookmarkStart w:colFirst="0" w:colLast="0" w:name="_xzh8w074osxu" w:id="6"/>
      <w:bookmarkEnd w:id="6"/>
      <w:r w:rsidDel="00000000" w:rsidR="00000000" w:rsidRPr="00000000">
        <w:rPr>
          <w:rtl w:val="0"/>
        </w:rPr>
        <w:t xml:space="preserve">2. Analytics: Forecasting and Scenario Planning</w:t>
      </w:r>
    </w:p>
    <w:p w:rsidR="00000000" w:rsidDel="00000000" w:rsidP="00000000" w:rsidRDefault="00000000" w:rsidRPr="00000000" w14:paraId="00000018">
      <w:pPr>
        <w:rPr/>
      </w:pPr>
      <w:r w:rsidDel="00000000" w:rsidR="00000000" w:rsidRPr="00000000">
        <w:rPr>
          <w:rtl w:val="0"/>
        </w:rPr>
        <w:t xml:space="preserve">Strategic foresight requires a dual-track approach: narrowing the range of potential outcomes (forecasting) and expanding organizational readiness for multiple divergent futures (scenario planning).</w:t>
      </w:r>
    </w:p>
    <w:p w:rsidR="00000000" w:rsidDel="00000000" w:rsidP="00000000" w:rsidRDefault="00000000" w:rsidRPr="00000000" w14:paraId="00000019">
      <w:pPr>
        <w:pStyle w:val="Heading5"/>
        <w:rPr/>
      </w:pPr>
      <w:bookmarkStart w:colFirst="0" w:colLast="0" w:name="_c3vdxyh825qe" w:id="7"/>
      <w:bookmarkEnd w:id="7"/>
      <w:r w:rsidDel="00000000" w:rsidR="00000000" w:rsidRPr="00000000">
        <w:rPr>
          <w:rtl w:val="0"/>
        </w:rPr>
        <w:t xml:space="preserve">Core Concepts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Forecast:</w:t>
      </w:r>
      <w:r w:rsidDel="00000000" w:rsidR="00000000" w:rsidRPr="00000000">
        <w:rPr>
          <w:rtl w:val="0"/>
        </w:rPr>
        <w:t xml:space="preserve">  A structured opinion regarding the future, typically expressed as a probability distribution, intended to narrow uncertainty.</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coherent narrative about a possible future, intended to prepare an organization for uncertainty.</w:t>
      </w:r>
    </w:p>
    <w:p w:rsidR="00000000" w:rsidDel="00000000" w:rsidP="00000000" w:rsidRDefault="00000000" w:rsidRPr="00000000" w14:paraId="0000001C">
      <w:pPr>
        <w:pStyle w:val="Heading5"/>
        <w:rPr/>
      </w:pPr>
      <w:bookmarkStart w:colFirst="0" w:colLast="0" w:name="_2qepiopr7h23" w:id="8"/>
      <w:bookmarkEnd w:id="8"/>
      <w:r w:rsidDel="00000000" w:rsidR="00000000" w:rsidRPr="00000000">
        <w:rPr>
          <w:rtl w:val="0"/>
        </w:rPr>
        <w:t xml:space="preserve">Forecast Quality Metrics</w:t>
      </w:r>
    </w:p>
    <w:p w:rsidR="00000000" w:rsidDel="00000000" w:rsidP="00000000" w:rsidRDefault="00000000" w:rsidRPr="00000000" w14:paraId="0000001D">
      <w:pPr>
        <w:rPr/>
      </w:pPr>
      <w:r w:rsidDel="00000000" w:rsidR="00000000" w:rsidRPr="00000000">
        <w:rPr>
          <w:rtl w:val="0"/>
        </w:rPr>
        <w:t xml:space="preserve">To refine predictive accuracy, firms must track and improve three specific metrics:</w:t>
      </w:r>
    </w:p>
    <w:p w:rsidR="00000000" w:rsidDel="00000000" w:rsidP="00000000" w:rsidRDefault="00000000" w:rsidRPr="00000000" w14:paraId="0000001E">
      <w:pPr>
        <w:numPr>
          <w:ilvl w:val="0"/>
          <w:numId w:val="9"/>
        </w:numPr>
        <w:ind w:left="720" w:hanging="360"/>
        <w:rPr>
          <w:u w:val="none"/>
        </w:rPr>
      </w:pPr>
      <w:r w:rsidDel="00000000" w:rsidR="00000000" w:rsidRPr="00000000">
        <w:rPr>
          <w:b w:val="1"/>
          <w:bCs w:val="1"/>
          <w:rtl w:val="0"/>
        </w:rPr>
        <w:t xml:space="preserve">Calibration:</w:t>
      </w:r>
      <w:r w:rsidDel="00000000" w:rsidR="00000000" w:rsidRPr="00000000">
        <w:rPr>
          <w:rtl w:val="0"/>
        </w:rPr>
        <w:t xml:space="preserve">  A measure of confidence; 90% confidence intervals should contain the truth 90% of the time.</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The "sharpness" of a forecast; specific, narrow predictions are more useful than vague, broad ones.</w:t>
      </w:r>
    </w:p>
    <w:p w:rsidR="00000000" w:rsidDel="00000000" w:rsidP="00000000" w:rsidRDefault="00000000" w:rsidRPr="00000000" w14:paraId="00000020">
      <w:pPr>
        <w:numPr>
          <w:ilvl w:val="0"/>
          <w:numId w:val="9"/>
        </w:numPr>
        <w:ind w:left="720" w:hanging="360"/>
        <w:rPr>
          <w:u w:val="none"/>
        </w:rPr>
      </w:pPr>
      <w:r w:rsidDel="00000000" w:rsidR="00000000" w:rsidRPr="00000000">
        <w:rPr>
          <w:b w:val="1"/>
          <w:bCs w:val="1"/>
          <w:rtl w:val="0"/>
        </w:rPr>
        <w:t xml:space="preserve">Bias:</w:t>
      </w:r>
      <w:r w:rsidDel="00000000" w:rsidR="00000000" w:rsidRPr="00000000">
        <w:rPr>
          <w:rtl w:val="0"/>
        </w:rPr>
        <w:t xml:space="preserve">  The identification of systematic over-shooting or under-shooting in historical predictions.</w:t>
      </w:r>
    </w:p>
    <w:p w:rsidR="00000000" w:rsidDel="00000000" w:rsidP="00000000" w:rsidRDefault="00000000" w:rsidRPr="00000000" w14:paraId="00000021">
      <w:pPr>
        <w:pStyle w:val="Heading5"/>
        <w:rPr/>
      </w:pPr>
      <w:bookmarkStart w:colFirst="0" w:colLast="0" w:name="_a6au5wg3jqur" w:id="9"/>
      <w:bookmarkEnd w:id="9"/>
      <w:r w:rsidDel="00000000" w:rsidR="00000000" w:rsidRPr="00000000">
        <w:rPr>
          <w:rtl w:val="0"/>
        </w:rPr>
        <w:t xml:space="preserve">Methodology Triangulation</w:t>
      </w:r>
    </w:p>
    <w:p w:rsidR="00000000" w:rsidDel="00000000" w:rsidP="00000000" w:rsidRDefault="00000000" w:rsidRPr="00000000" w14:paraId="00000022">
      <w:pPr>
        <w:rPr/>
      </w:pPr>
      <w:r w:rsidDel="00000000" w:rsidR="00000000" w:rsidRPr="00000000">
        <w:rPr>
          <w:rtl w:val="0"/>
        </w:rPr>
        <w:t xml:space="preserve">Analytical integrity is increased through the triangulation of at least two of the following methods:</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Top-down:</w:t>
      </w:r>
      <w:r w:rsidDel="00000000" w:rsidR="00000000" w:rsidRPr="00000000">
        <w:rPr>
          <w:rtl w:val="0"/>
        </w:rPr>
        <w:t xml:space="preserve">  Market-level analysis (Total Market × Target Share).</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Bottom-up:</w:t>
      </w:r>
      <w:r w:rsidDel="00000000" w:rsidR="00000000" w:rsidRPr="00000000">
        <w:rPr>
          <w:rtl w:val="0"/>
        </w:rPr>
        <w:t xml:space="preserve">  Individual unit analysis (Representative Quotas or Customer-level ARPU).</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Time series:</w:t>
      </w:r>
      <w:r w:rsidDel="00000000" w:rsidR="00000000" w:rsidRPr="00000000">
        <w:rPr>
          <w:rtl w:val="0"/>
        </w:rPr>
        <w:t xml:space="preserve">  Extrapolation based on historical longitudinal data.</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Driver-based:</w:t>
      </w:r>
      <w:r w:rsidDel="00000000" w:rsidR="00000000" w:rsidRPr="00000000">
        <w:rPr>
          <w:rtl w:val="0"/>
        </w:rPr>
        <w:t xml:space="preserve">  Equation-led analysis (e.g., Revenue = Traffic × Conversion × Average Order Value).</w:t>
      </w:r>
    </w:p>
    <w:p w:rsidR="00000000" w:rsidDel="00000000" w:rsidP="00000000" w:rsidRDefault="00000000" w:rsidRPr="00000000" w14:paraId="00000027">
      <w:pPr>
        <w:pStyle w:val="Heading5"/>
        <w:rPr/>
      </w:pPr>
      <w:bookmarkStart w:colFirst="0" w:colLast="0" w:name="_1dcxqdfv6fbj" w:id="10"/>
      <w:bookmarkEnd w:id="10"/>
      <w:r w:rsidDel="00000000" w:rsidR="00000000" w:rsidRPr="00000000">
        <w:rPr>
          <w:rtl w:val="0"/>
        </w:rPr>
        <w:t xml:space="preserve">The Four-Corner Frame</w:t>
      </w:r>
    </w:p>
    <w:p w:rsidR="00000000" w:rsidDel="00000000" w:rsidP="00000000" w:rsidRDefault="00000000" w:rsidRPr="00000000" w14:paraId="00000028">
      <w:pPr>
        <w:rPr/>
      </w:pPr>
      <w:r w:rsidDel="00000000" w:rsidR="00000000" w:rsidRPr="00000000">
        <w:rPr>
          <w:rtl w:val="0"/>
        </w:rPr>
        <w:t xml:space="preserve">Scenario planning utilizes the "Four-Corner Frame" to prepare for volatility. Practitioners must identify two  </w:t>
      </w:r>
      <w:r w:rsidDel="00000000" w:rsidR="00000000" w:rsidRPr="00000000">
        <w:rPr>
          <w:b w:val="1"/>
          <w:bCs w:val="1"/>
          <w:rtl w:val="0"/>
        </w:rPr>
        <w:t xml:space="preserve">critical uncertainties</w:t>
      </w:r>
      <w:r w:rsidDel="00000000" w:rsidR="00000000" w:rsidRPr="00000000">
        <w:rPr>
          <w:rtl w:val="0"/>
        </w:rPr>
        <w:t xml:space="preserve"> —variables that are both highly impactful and highly uncertain (e.g., radical regulatory shifts and consumer demand volatility). By placing these on two independent axes, the organization builds "four worlds." Strategies are then stress-tested against each world to identify  </w:t>
      </w:r>
      <w:r w:rsidDel="00000000" w:rsidR="00000000" w:rsidRPr="00000000">
        <w:rPr>
          <w:b w:val="1"/>
          <w:bCs w:val="1"/>
          <w:rtl w:val="0"/>
        </w:rPr>
        <w:t xml:space="preserve">no-regret moves</w:t>
      </w:r>
      <w:r w:rsidDel="00000000" w:rsidR="00000000" w:rsidRPr="00000000">
        <w:rPr>
          <w:rtl w:val="0"/>
        </w:rPr>
        <w:t xml:space="preserve"> —actions that remain strategically sound across all possible scenarios.</w:t>
      </w:r>
    </w:p>
    <w:p w:rsidR="00000000" w:rsidDel="00000000" w:rsidP="00000000" w:rsidRDefault="00000000" w:rsidRPr="00000000" w14:paraId="00000029">
      <w:pPr>
        <w:pStyle w:val="Heading5"/>
        <w:rPr/>
      </w:pPr>
      <w:bookmarkStart w:colFirst="0" w:colLast="0" w:name="_mrdz5xah5bub" w:id="11"/>
      <w:bookmarkEnd w:id="11"/>
      <w:r w:rsidDel="00000000" w:rsidR="00000000" w:rsidRPr="00000000">
        <w:rPr>
          <w:rtl w:val="0"/>
        </w:rPr>
        <w:t xml:space="preserve">The Base-Rate Check</w:t>
      </w:r>
    </w:p>
    <w:p w:rsidR="00000000" w:rsidDel="00000000" w:rsidP="00000000" w:rsidRDefault="00000000" w:rsidRPr="00000000" w14:paraId="0000002A">
      <w:pPr>
        <w:rPr/>
      </w:pPr>
      <w:r w:rsidDel="00000000" w:rsidR="00000000" w:rsidRPr="00000000">
        <w:rPr>
          <w:rtl w:val="0"/>
        </w:rPr>
        <w:t xml:space="preserve">The "Base-Rate Check" functions as an essential analytical guardrail. It mandates an investigation into the historical frequency of similar outcomes. Any forecast that assumes an organization will be the "exception" to a established historical base rate is statistically likely to be erroneous.</w:t>
      </w:r>
    </w:p>
    <w:p w:rsidR="00000000" w:rsidDel="00000000" w:rsidP="00000000" w:rsidRDefault="00000000" w:rsidRPr="00000000" w14:paraId="0000002B">
      <w:pPr>
        <w:pStyle w:val="Heading4"/>
        <w:rPr/>
      </w:pPr>
      <w:bookmarkStart w:colFirst="0" w:colLast="0" w:name="_vrjef5f98sft" w:id="12"/>
      <w:bookmarkEnd w:id="12"/>
      <w:r w:rsidDel="00000000" w:rsidR="00000000" w:rsidRPr="00000000">
        <w:rPr>
          <w:rtl w:val="0"/>
        </w:rPr>
        <w:t xml:space="preserve">3. Strategic Narrative and Positioning</w:t>
      </w:r>
    </w:p>
    <w:p w:rsidR="00000000" w:rsidDel="00000000" w:rsidP="00000000" w:rsidRDefault="00000000" w:rsidRPr="00000000" w14:paraId="0000002C">
      <w:pPr>
        <w:rPr/>
      </w:pPr>
      <w:r w:rsidDel="00000000" w:rsidR="00000000" w:rsidRPr="00000000">
        <w:rPr>
          <w:rtl w:val="0"/>
        </w:rPr>
        <w:t xml:space="preserve">A brand’s position is not its logo; it is the specific narrative that customers utilize to differentiate a product from its competitors. Clarity is the primary driver of positioning efficacy.</w:t>
      </w:r>
    </w:p>
    <w:p w:rsidR="00000000" w:rsidDel="00000000" w:rsidP="00000000" w:rsidRDefault="00000000" w:rsidRPr="00000000" w14:paraId="0000002D">
      <w:pPr>
        <w:pStyle w:val="Heading5"/>
        <w:rPr/>
      </w:pPr>
      <w:bookmarkStart w:colFirst="0" w:colLast="0" w:name="_i62a9rtdk2hy" w:id="13"/>
      <w:bookmarkEnd w:id="13"/>
      <w:r w:rsidDel="00000000" w:rsidR="00000000" w:rsidRPr="00000000">
        <w:rPr>
          <w:rtl w:val="0"/>
        </w:rPr>
        <w:t xml:space="preserve">The Positioning Template</w:t>
      </w:r>
    </w:p>
    <w:p w:rsidR="00000000" w:rsidDel="00000000" w:rsidP="00000000" w:rsidRDefault="00000000" w:rsidRPr="00000000" w14:paraId="0000002E">
      <w:pPr>
        <w:rPr/>
      </w:pPr>
      <w:r w:rsidDel="00000000" w:rsidR="00000000" w:rsidRPr="00000000">
        <w:rPr>
          <w:rtl w:val="0"/>
        </w:rPr>
        <w:t xml:space="preserve">Positioning must be captured in a singular, crystalline sentence:"For  </w:t>
      </w:r>
      <w:r w:rsidDel="00000000" w:rsidR="00000000" w:rsidRPr="00000000">
        <w:rPr>
          <w:b w:val="1"/>
          <w:bCs w:val="1"/>
          <w:rtl w:val="0"/>
        </w:rPr>
        <w:t xml:space="preserve">target</w:t>
      </w:r>
      <w:r w:rsidDel="00000000" w:rsidR="00000000" w:rsidRPr="00000000">
        <w:rPr>
          <w:rtl w:val="0"/>
        </w:rPr>
        <w:t xml:space="preserve">  who need  </w:t>
      </w:r>
      <w:r w:rsidDel="00000000" w:rsidR="00000000" w:rsidRPr="00000000">
        <w:rPr>
          <w:b w:val="1"/>
          <w:bCs w:val="1"/>
          <w:rtl w:val="0"/>
        </w:rPr>
        <w:t xml:space="preserve">need</w:t>
      </w:r>
      <w:r w:rsidDel="00000000" w:rsidR="00000000" w:rsidRPr="00000000">
        <w:rPr>
          <w:rtl w:val="0"/>
        </w:rPr>
        <w:t xml:space="preserve"> ,  </w:t>
      </w:r>
      <w:r w:rsidDel="00000000" w:rsidR="00000000" w:rsidRPr="00000000">
        <w:rPr>
          <w:b w:val="1"/>
          <w:bCs w:val="1"/>
          <w:rtl w:val="0"/>
        </w:rPr>
        <w:t xml:space="preserve">brand</w:t>
      </w:r>
      <w:r w:rsidDel="00000000" w:rsidR="00000000" w:rsidRPr="00000000">
        <w:rPr>
          <w:rtl w:val="0"/>
        </w:rPr>
        <w:t xml:space="preserve">  is the  </w:t>
      </w:r>
      <w:r w:rsidDel="00000000" w:rsidR="00000000" w:rsidRPr="00000000">
        <w:rPr>
          <w:b w:val="1"/>
          <w:bCs w:val="1"/>
          <w:rtl w:val="0"/>
        </w:rPr>
        <w:t xml:space="preserve">category</w:t>
      </w:r>
      <w:r w:rsidDel="00000000" w:rsidR="00000000" w:rsidRPr="00000000">
        <w:rPr>
          <w:rtl w:val="0"/>
        </w:rPr>
        <w:t xml:space="preserve">  that  </w:t>
      </w:r>
      <w:r w:rsidDel="00000000" w:rsidR="00000000" w:rsidRPr="00000000">
        <w:rPr>
          <w:b w:val="1"/>
          <w:bCs w:val="1"/>
          <w:rtl w:val="0"/>
        </w:rPr>
        <w:t xml:space="preserve">unique value</w:t>
      </w:r>
      <w:r w:rsidDel="00000000" w:rsidR="00000000" w:rsidRPr="00000000">
        <w:rPr>
          <w:rtl w:val="0"/>
        </w:rPr>
        <w:t xml:space="preserve"> ."</w:t>
      </w:r>
    </w:p>
    <w:p w:rsidR="00000000" w:rsidDel="00000000" w:rsidP="00000000" w:rsidRDefault="00000000" w:rsidRPr="00000000" w14:paraId="0000002F">
      <w:pPr>
        <w:pStyle w:val="Heading5"/>
        <w:rPr/>
      </w:pPr>
      <w:bookmarkStart w:colFirst="0" w:colLast="0" w:name="_at2ty8vmo61k" w:id="14"/>
      <w:bookmarkEnd w:id="14"/>
      <w:r w:rsidDel="00000000" w:rsidR="00000000" w:rsidRPr="00000000">
        <w:rPr>
          <w:rtl w:val="0"/>
        </w:rPr>
        <w:t xml:space="preserve">The "12-Word" Rule and Ownership</w:t>
      </w:r>
    </w:p>
    <w:p w:rsidR="00000000" w:rsidDel="00000000" w:rsidP="00000000" w:rsidRDefault="00000000" w:rsidRPr="00000000" w14:paraId="00000030">
      <w:pPr>
        <w:rPr/>
      </w:pPr>
      <w:r w:rsidDel="00000000" w:rsidR="00000000" w:rsidRPr="00000000">
        <w:rPr>
          <w:rtl w:val="0"/>
        </w:rPr>
        <w:t xml:space="preserve">If the  </w:t>
      </w:r>
      <w:r w:rsidDel="00000000" w:rsidR="00000000" w:rsidRPr="00000000">
        <w:rPr>
          <w:i w:val="1"/>
          <w:iCs w:val="1"/>
          <w:rtl w:val="0"/>
        </w:rPr>
        <w:t xml:space="preserve">entire</w:t>
      </w:r>
      <w:r w:rsidDel="00000000" w:rsidR="00000000" w:rsidRPr="00000000">
        <w:rPr>
          <w:rtl w:val="0"/>
        </w:rPr>
        <w:t xml:space="preserve">  five-part statement above cannot be articulated in approximately  </w:t>
      </w:r>
      <w:r w:rsidDel="00000000" w:rsidR="00000000" w:rsidRPr="00000000">
        <w:rPr>
          <w:b w:val="1"/>
          <w:bCs w:val="1"/>
          <w:rtl w:val="0"/>
        </w:rPr>
        <w:t xml:space="preserve">12 words or less</w:t>
      </w:r>
      <w:r w:rsidDel="00000000" w:rsidR="00000000" w:rsidRPr="00000000">
        <w:rPr>
          <w:rtl w:val="0"/>
        </w:rPr>
        <w:t xml:space="preserve"> , the positioning is technically insufficient. The ultimate goal is to "own" a single word within a category to simplify the consumer's cognitive load:</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Volvo:</w:t>
      </w:r>
      <w:r w:rsidDel="00000000" w:rsidR="00000000" w:rsidRPr="00000000">
        <w:rPr>
          <w:rtl w:val="0"/>
        </w:rPr>
        <w:t xml:space="preserve">  Safety</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Tesla:</w:t>
      </w:r>
      <w:r w:rsidDel="00000000" w:rsidR="00000000" w:rsidRPr="00000000">
        <w:rPr>
          <w:rtl w:val="0"/>
        </w:rPr>
        <w:t xml:space="preserve">  Future</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Patagonia:</w:t>
      </w:r>
      <w:r w:rsidDel="00000000" w:rsidR="00000000" w:rsidRPr="00000000">
        <w:rPr>
          <w:rtl w:val="0"/>
        </w:rPr>
        <w:t xml:space="preserve">  Planet</w:t>
      </w:r>
    </w:p>
    <w:p w:rsidR="00000000" w:rsidDel="00000000" w:rsidP="00000000" w:rsidRDefault="00000000" w:rsidRPr="00000000" w14:paraId="00000034">
      <w:pPr>
        <w:pStyle w:val="Heading4"/>
        <w:rPr/>
      </w:pPr>
      <w:bookmarkStart w:colFirst="0" w:colLast="0" w:name="_dkz43pkpsize" w:id="15"/>
      <w:bookmarkEnd w:id="15"/>
      <w:r w:rsidDel="00000000" w:rsidR="00000000" w:rsidRPr="00000000">
        <w:rPr>
          <w:rtl w:val="0"/>
        </w:rPr>
        <w:t xml:space="preserve">4. Educational Foundations and Andragogy</w:t>
      </w:r>
    </w:p>
    <w:p w:rsidR="00000000" w:rsidDel="00000000" w:rsidP="00000000" w:rsidRDefault="00000000" w:rsidRPr="00000000" w14:paraId="00000035">
      <w:pPr>
        <w:rPr/>
      </w:pPr>
      <w:r w:rsidDel="00000000" w:rsidR="00000000" w:rsidRPr="00000000">
        <w:rPr>
          <w:rtl w:val="0"/>
        </w:rPr>
        <w:t xml:space="preserve">Effective information synthesis is predicated on understanding the unique pedagogical requirements of adult learners and the historical context of generational cohorts.</w:t>
      </w:r>
    </w:p>
    <w:p w:rsidR="00000000" w:rsidDel="00000000" w:rsidP="00000000" w:rsidRDefault="00000000" w:rsidRPr="00000000" w14:paraId="00000036">
      <w:pPr>
        <w:pStyle w:val="Heading5"/>
        <w:rPr/>
      </w:pPr>
      <w:bookmarkStart w:colFirst="0" w:colLast="0" w:name="_crkmhttd6ufw" w:id="16"/>
      <w:bookmarkEnd w:id="16"/>
      <w:r w:rsidDel="00000000" w:rsidR="00000000" w:rsidRPr="00000000">
        <w:rPr>
          <w:rtl w:val="0"/>
        </w:rPr>
        <w:t xml:space="preserve">Assumptions and Motivations of Adult Learners</w:t>
      </w:r>
    </w:p>
    <w:p w:rsidR="00000000" w:rsidDel="00000000" w:rsidP="00000000" w:rsidRDefault="00000000" w:rsidRPr="00000000" w14:paraId="00000037">
      <w:pPr>
        <w:rPr/>
      </w:pPr>
      <w:r w:rsidDel="00000000" w:rsidR="00000000" w:rsidRPr="00000000">
        <w:rPr>
          <w:rtl w:val="0"/>
        </w:rPr>
        <w:t xml:space="preserve">Adult learners operate under four primary assumptions:</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Experience:</w:t>
      </w:r>
      <w:r w:rsidDel="00000000" w:rsidR="00000000" w:rsidRPr="00000000">
        <w:rPr>
          <w:rtl w:val="0"/>
        </w:rPr>
        <w:t xml:space="preserve">  They view their existing knowledge as a primary resource.</w:t>
      </w:r>
    </w:p>
    <w:p w:rsidR="00000000" w:rsidDel="00000000" w:rsidP="00000000" w:rsidRDefault="00000000" w:rsidRPr="00000000" w14:paraId="00000039">
      <w:pPr>
        <w:numPr>
          <w:ilvl w:val="0"/>
          <w:numId w:val="10"/>
        </w:numPr>
        <w:ind w:left="720" w:hanging="360"/>
        <w:rPr>
          <w:u w:val="none"/>
        </w:rPr>
      </w:pPr>
      <w:r w:rsidDel="00000000" w:rsidR="00000000" w:rsidRPr="00000000">
        <w:rPr>
          <w:b w:val="1"/>
          <w:bCs w:val="1"/>
          <w:rtl w:val="0"/>
        </w:rPr>
        <w:t xml:space="preserve">Self-direction:</w:t>
      </w:r>
      <w:r w:rsidDel="00000000" w:rsidR="00000000" w:rsidRPr="00000000">
        <w:rPr>
          <w:rtl w:val="0"/>
        </w:rPr>
        <w:t xml:space="preserve">  they possess a high readiness to learn and prefer autonomy.</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Problem-centeredness:</w:t>
      </w:r>
      <w:r w:rsidDel="00000000" w:rsidR="00000000" w:rsidRPr="00000000">
        <w:rPr>
          <w:rtl w:val="0"/>
        </w:rPr>
        <w:t xml:space="preserve">  They prioritize immediate utility over abstract subject focus.</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Internal motivation:</w:t>
      </w:r>
      <w:r w:rsidDel="00000000" w:rsidR="00000000" w:rsidRPr="00000000">
        <w:rPr>
          <w:rtl w:val="0"/>
        </w:rPr>
        <w:t xml:space="preserve">  They are driven by intrinsic factors rather than external mandates.Their engagement is further fueled by six distinct  </w:t>
      </w:r>
      <w:r w:rsidDel="00000000" w:rsidR="00000000" w:rsidRPr="00000000">
        <w:rPr>
          <w:b w:val="1"/>
          <w:bCs w:val="1"/>
          <w:rtl w:val="0"/>
        </w:rPr>
        <w:t xml:space="preserve">Sources of Motivation</w:t>
      </w:r>
      <w:r w:rsidDel="00000000" w:rsidR="00000000" w:rsidRPr="00000000">
        <w:rPr>
          <w:rtl w:val="0"/>
        </w:rPr>
        <w:t xml:space="preserve"> :</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Social relationships (networking and collaboration).</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External expectations (meeting formal requirements).</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Social welfare (serving the community).</w:t>
      </w:r>
    </w:p>
    <w:p w:rsidR="00000000" w:rsidDel="00000000" w:rsidP="00000000" w:rsidRDefault="00000000" w:rsidRPr="00000000" w14:paraId="0000003F">
      <w:pPr>
        <w:numPr>
          <w:ilvl w:val="0"/>
          <w:numId w:val="11"/>
        </w:numPr>
        <w:ind w:left="720" w:hanging="360"/>
        <w:rPr>
          <w:u w:val="none"/>
        </w:rPr>
      </w:pPr>
      <w:r w:rsidDel="00000000" w:rsidR="00000000" w:rsidRPr="00000000">
        <w:rPr>
          <w:rtl w:val="0"/>
        </w:rPr>
        <w:t xml:space="preserve">Personal advancement (career growth).</w:t>
      </w:r>
    </w:p>
    <w:p w:rsidR="00000000" w:rsidDel="00000000" w:rsidP="00000000" w:rsidRDefault="00000000" w:rsidRPr="00000000" w14:paraId="00000040">
      <w:pPr>
        <w:numPr>
          <w:ilvl w:val="0"/>
          <w:numId w:val="11"/>
        </w:numPr>
        <w:ind w:left="720" w:hanging="360"/>
        <w:rPr>
          <w:u w:val="none"/>
        </w:rPr>
      </w:pPr>
      <w:r w:rsidDel="00000000" w:rsidR="00000000" w:rsidRPr="00000000">
        <w:rPr>
          <w:rtl w:val="0"/>
        </w:rPr>
        <w:t xml:space="preserve">Escape/Stimulation (relieving boredom or routine).</w:t>
      </w:r>
    </w:p>
    <w:p w:rsidR="00000000" w:rsidDel="00000000" w:rsidP="00000000" w:rsidRDefault="00000000" w:rsidRPr="00000000" w14:paraId="00000041">
      <w:pPr>
        <w:numPr>
          <w:ilvl w:val="0"/>
          <w:numId w:val="11"/>
        </w:numPr>
        <w:ind w:left="720" w:hanging="360"/>
        <w:rPr>
          <w:u w:val="none"/>
        </w:rPr>
      </w:pPr>
      <w:r w:rsidDel="00000000" w:rsidR="00000000" w:rsidRPr="00000000">
        <w:rPr>
          <w:rtl w:val="0"/>
        </w:rPr>
        <w:t xml:space="preserve">Cognitive interest (learning for the sake of learning).</w:t>
      </w:r>
    </w:p>
    <w:p w:rsidR="00000000" w:rsidDel="00000000" w:rsidP="00000000" w:rsidRDefault="00000000" w:rsidRPr="00000000" w14:paraId="00000042">
      <w:pPr>
        <w:pStyle w:val="Heading5"/>
        <w:rPr/>
      </w:pPr>
      <w:bookmarkStart w:colFirst="0" w:colLast="0" w:name="_hvuc94l0ytx1" w:id="17"/>
      <w:bookmarkEnd w:id="17"/>
      <w:r w:rsidDel="00000000" w:rsidR="00000000" w:rsidRPr="00000000">
        <w:rPr>
          <w:rtl w:val="0"/>
        </w:rPr>
        <w:t xml:space="preserve">Pedagogy vs. Andragogy</w:t>
      </w:r>
    </w:p>
    <w:p w:rsidR="00000000" w:rsidDel="00000000" w:rsidP="00000000" w:rsidRDefault="00000000" w:rsidRPr="00000000" w14:paraId="00000043">
      <w:pPr>
        <w:rPr/>
      </w:pPr>
      <w:r w:rsidDel="00000000" w:rsidR="00000000" w:rsidRPr="00000000">
        <w:rPr>
          <w:b w:val="1"/>
          <w:bCs w:val="1"/>
          <w:rtl w:val="0"/>
        </w:rPr>
        <w:t xml:space="preserve">Pedagogy</w:t>
      </w:r>
      <w:r w:rsidDel="00000000" w:rsidR="00000000" w:rsidRPr="00000000">
        <w:rPr>
          <w:rtl w:val="0"/>
        </w:rPr>
        <w:t xml:space="preserve">  is defined as the general science and art of education, focusing on broad strategies to improve learning outcomes.  </w:t>
      </w:r>
      <w:r w:rsidDel="00000000" w:rsidR="00000000" w:rsidRPr="00000000">
        <w:rPr>
          <w:b w:val="1"/>
          <w:bCs w:val="1"/>
          <w:rtl w:val="0"/>
        </w:rPr>
        <w:t xml:space="preserve">Andragogy</w:t>
      </w:r>
      <w:r w:rsidDel="00000000" w:rsidR="00000000" w:rsidRPr="00000000">
        <w:rPr>
          <w:rtl w:val="0"/>
        </w:rPr>
        <w:t xml:space="preserve">  refers specifically to the method, practice, and specialized strategies designed for the instruction of adult learners.</w:t>
      </w:r>
    </w:p>
    <w:p w:rsidR="00000000" w:rsidDel="00000000" w:rsidP="00000000" w:rsidRDefault="00000000" w:rsidRPr="00000000" w14:paraId="00000044">
      <w:pPr>
        <w:pStyle w:val="Heading5"/>
        <w:rPr/>
      </w:pPr>
      <w:bookmarkStart w:colFirst="0" w:colLast="0" w:name="_2o4btqpuxe62" w:id="18"/>
      <w:bookmarkEnd w:id="18"/>
      <w:r w:rsidDel="00000000" w:rsidR="00000000" w:rsidRPr="00000000">
        <w:rPr>
          <w:rtl w:val="0"/>
        </w:rPr>
        <w:t xml:space="preserve">Learning Style Inventory</w:t>
      </w:r>
    </w:p>
    <w:p w:rsidR="00000000" w:rsidDel="00000000" w:rsidP="00000000" w:rsidRDefault="00000000" w:rsidRPr="00000000" w14:paraId="00000045">
      <w:pPr>
        <w:rPr/>
      </w:pPr>
      <w:r w:rsidDel="00000000" w:rsidR="00000000" w:rsidRPr="00000000">
        <w:rPr>
          <w:rtl w:val="0"/>
        </w:rPr>
        <w:t xml:space="preserve">Instructional design must utilize multiple modalities to accommodate diverse preferences for information acquisition.| Learning Style | Preference for Acquisition | Learning Strategy || ------ | ------ | ------ || </w:t>
      </w:r>
      <w:r w:rsidDel="00000000" w:rsidR="00000000" w:rsidRPr="00000000">
        <w:rPr>
          <w:b w:val="1"/>
          <w:bCs w:val="1"/>
          <w:rtl w:val="0"/>
        </w:rPr>
        <w:t xml:space="preserve">Visual</w:t>
      </w:r>
      <w:r w:rsidDel="00000000" w:rsidR="00000000" w:rsidRPr="00000000">
        <w:rPr>
          <w:rtl w:val="0"/>
        </w:rPr>
        <w:t xml:space="preserve"> | Seeing, viewing, and reading graphics/diagrams. | Use of slide shows, graphs, and organized outlines. || </w:t>
      </w:r>
      <w:r w:rsidDel="00000000" w:rsidR="00000000" w:rsidRPr="00000000">
        <w:rPr>
          <w:b w:val="1"/>
          <w:bCs w:val="1"/>
          <w:rtl w:val="0"/>
        </w:rPr>
        <w:t xml:space="preserve">Auditory</w:t>
      </w:r>
      <w:r w:rsidDel="00000000" w:rsidR="00000000" w:rsidRPr="00000000">
        <w:rPr>
          <w:rtl w:val="0"/>
        </w:rPr>
        <w:t xml:space="preserve"> | Listening, hearing, and verbalizing information. | Use of group discussions, podcasts, and repeating info aloud. || </w:t>
      </w:r>
      <w:r w:rsidDel="00000000" w:rsidR="00000000" w:rsidRPr="00000000">
        <w:rPr>
          <w:b w:val="1"/>
          <w:bCs w:val="1"/>
          <w:rtl w:val="0"/>
        </w:rPr>
        <w:t xml:space="preserve">Kinesthetic</w:t>
      </w:r>
      <w:r w:rsidDel="00000000" w:rsidR="00000000" w:rsidRPr="00000000">
        <w:rPr>
          <w:rtl w:val="0"/>
        </w:rPr>
        <w:t xml:space="preserve"> | Hands-on experience, touching, and manipulation. | Use of simulations, role-plays, and physically active tasks. |</w:t>
      </w:r>
    </w:p>
    <w:p w:rsidR="00000000" w:rsidDel="00000000" w:rsidP="00000000" w:rsidRDefault="00000000" w:rsidRPr="00000000" w14:paraId="00000046">
      <w:pPr>
        <w:pStyle w:val="Heading5"/>
        <w:rPr/>
      </w:pPr>
      <w:bookmarkStart w:colFirst="0" w:colLast="0" w:name="_w1wbcjxcvyix" w:id="19"/>
      <w:bookmarkEnd w:id="19"/>
      <w:r w:rsidDel="00000000" w:rsidR="00000000" w:rsidRPr="00000000">
        <w:rPr>
          <w:rtl w:val="0"/>
        </w:rPr>
        <w:t xml:space="preserve">Generational Cohorts</w:t>
      </w:r>
    </w:p>
    <w:p w:rsidR="00000000" w:rsidDel="00000000" w:rsidP="00000000" w:rsidRDefault="00000000" w:rsidRPr="00000000" w14:paraId="00000047">
      <w:pPr>
        <w:rPr/>
      </w:pPr>
      <w:r w:rsidDel="00000000" w:rsidR="00000000" w:rsidRPr="00000000">
        <w:rPr>
          <w:rtl w:val="0"/>
        </w:rPr>
        <w:t xml:space="preserve">Note the following ranges, specifically observing the 1964 transition point:</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Silent Generation:</w:t>
      </w:r>
      <w:r w:rsidDel="00000000" w:rsidR="00000000" w:rsidRPr="00000000">
        <w:rPr>
          <w:rtl w:val="0"/>
        </w:rPr>
        <w:t xml:space="preserve">  1924 – 1944</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Baby Boomers:</w:t>
      </w:r>
      <w:r w:rsidDel="00000000" w:rsidR="00000000" w:rsidRPr="00000000">
        <w:rPr>
          <w:rtl w:val="0"/>
        </w:rPr>
        <w:t xml:space="preserve">  1945 – 1964</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Gen Xers:</w:t>
      </w:r>
      <w:r w:rsidDel="00000000" w:rsidR="00000000" w:rsidRPr="00000000">
        <w:rPr>
          <w:rtl w:val="0"/>
        </w:rPr>
        <w:t xml:space="preserve">  1964 – 1980</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Millennials:</w:t>
      </w:r>
      <w:r w:rsidDel="00000000" w:rsidR="00000000" w:rsidRPr="00000000">
        <w:rPr>
          <w:rtl w:val="0"/>
        </w:rPr>
        <w:t xml:space="preserve">  1981 – 2000</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Gen Z / Centennials:</w:t>
      </w:r>
      <w:r w:rsidDel="00000000" w:rsidR="00000000" w:rsidRPr="00000000">
        <w:rPr>
          <w:rtl w:val="0"/>
        </w:rPr>
        <w:t xml:space="preserve">  2001 – Present</w:t>
      </w:r>
    </w:p>
    <w:p w:rsidR="00000000" w:rsidDel="00000000" w:rsidP="00000000" w:rsidRDefault="00000000" w:rsidRPr="00000000" w14:paraId="0000004D">
      <w:pPr>
        <w:pStyle w:val="Heading4"/>
        <w:rPr/>
      </w:pPr>
      <w:bookmarkStart w:colFirst="0" w:colLast="0" w:name="_ah9zwudle2fc" w:id="20"/>
      <w:bookmarkEnd w:id="20"/>
      <w:r w:rsidDel="00000000" w:rsidR="00000000" w:rsidRPr="00000000">
        <w:rPr>
          <w:rtl w:val="0"/>
        </w:rPr>
        <w:t xml:space="preserve">5. Overarching Analytical Themes</w:t>
      </w:r>
    </w:p>
    <w:p w:rsidR="00000000" w:rsidDel="00000000" w:rsidP="00000000" w:rsidRDefault="00000000" w:rsidRPr="00000000" w14:paraId="0000004E">
      <w:pPr>
        <w:rPr/>
      </w:pPr>
      <w:r w:rsidDel="00000000" w:rsidR="00000000" w:rsidRPr="00000000">
        <w:rPr>
          <w:rtl w:val="0"/>
        </w:rPr>
        <w:t xml:space="preserve">To organize complex datasets and facilitate longitudinal comparisons, academic architects utilize six unifying threads. These themes bridge the gap between historical analysis and modern business structures.</w:t>
      </w:r>
    </w:p>
    <w:p w:rsidR="00000000" w:rsidDel="00000000" w:rsidP="00000000" w:rsidRDefault="00000000" w:rsidRPr="00000000" w14:paraId="0000004F">
      <w:pPr>
        <w:numPr>
          <w:ilvl w:val="0"/>
          <w:numId w:val="5"/>
        </w:numPr>
        <w:ind w:left="720" w:hanging="360"/>
        <w:rPr>
          <w:u w:val="none"/>
        </w:rPr>
      </w:pPr>
      <w:r w:rsidDel="00000000" w:rsidR="00000000" w:rsidRPr="00000000">
        <w:rPr>
          <w:b w:val="1"/>
          <w:bCs w:val="1"/>
          <w:rtl w:val="0"/>
        </w:rPr>
        <w:t xml:space="preserve">Interactions:</w:t>
      </w:r>
      <w:r w:rsidDel="00000000" w:rsidR="00000000" w:rsidRPr="00000000">
        <w:rPr>
          <w:rtl w:val="0"/>
        </w:rPr>
        <w:t xml:space="preserve">  The impact of trade, international systems, and diplomacy (Modern Parallel: Supply chain and global market dynamics).</w:t>
      </w:r>
    </w:p>
    <w:p w:rsidR="00000000" w:rsidDel="00000000" w:rsidP="00000000" w:rsidRDefault="00000000" w:rsidRPr="00000000" w14:paraId="00000050">
      <w:pPr>
        <w:numPr>
          <w:ilvl w:val="0"/>
          <w:numId w:val="5"/>
        </w:numPr>
        <w:ind w:left="720" w:hanging="360"/>
        <w:rPr>
          <w:u w:val="none"/>
        </w:rPr>
      </w:pPr>
      <w:r w:rsidDel="00000000" w:rsidR="00000000" w:rsidRPr="00000000">
        <w:rPr>
          <w:b w:val="1"/>
          <w:bCs w:val="1"/>
          <w:rtl w:val="0"/>
        </w:rPr>
        <w:t xml:space="preserve">Change and Continuity:</w:t>
      </w:r>
      <w:r w:rsidDel="00000000" w:rsidR="00000000" w:rsidRPr="00000000">
        <w:rPr>
          <w:rtl w:val="0"/>
        </w:rPr>
        <w:t xml:space="preserve">  The relationship between shifting and stable elements (Modern Parallel: Strategic pivots vs. core values).</w:t>
      </w:r>
    </w:p>
    <w:p w:rsidR="00000000" w:rsidDel="00000000" w:rsidP="00000000" w:rsidRDefault="00000000" w:rsidRPr="00000000" w14:paraId="00000051">
      <w:pPr>
        <w:numPr>
          <w:ilvl w:val="0"/>
          <w:numId w:val="5"/>
        </w:numPr>
        <w:ind w:left="720" w:hanging="360"/>
        <w:rPr>
          <w:u w:val="none"/>
        </w:rPr>
      </w:pPr>
      <w:r w:rsidDel="00000000" w:rsidR="00000000" w:rsidRPr="00000000">
        <w:rPr>
          <w:b w:val="1"/>
          <w:bCs w:val="1"/>
          <w:rtl w:val="0"/>
        </w:rPr>
        <w:t xml:space="preserve">Technology and Demography:</w:t>
      </w:r>
      <w:r w:rsidDel="00000000" w:rsidR="00000000" w:rsidRPr="00000000">
        <w:rPr>
          <w:rtl w:val="0"/>
        </w:rPr>
        <w:t xml:space="preserve">  The impact of manufacturing, migration, and the environment (Modern Parallel: Industry 4.0 and workforce shifts).</w:t>
      </w:r>
    </w:p>
    <w:p w:rsidR="00000000" w:rsidDel="00000000" w:rsidP="00000000" w:rsidRDefault="00000000" w:rsidRPr="00000000" w14:paraId="00000052">
      <w:pPr>
        <w:numPr>
          <w:ilvl w:val="0"/>
          <w:numId w:val="5"/>
        </w:numPr>
        <w:ind w:left="720" w:hanging="360"/>
        <w:rPr>
          <w:u w:val="none"/>
        </w:rPr>
      </w:pPr>
      <w:r w:rsidDel="00000000" w:rsidR="00000000" w:rsidRPr="00000000">
        <w:rPr>
          <w:b w:val="1"/>
          <w:bCs w:val="1"/>
          <w:rtl w:val="0"/>
        </w:rPr>
        <w:t xml:space="preserve">Social and Gender Structure:</w:t>
      </w:r>
      <w:r w:rsidDel="00000000" w:rsidR="00000000" w:rsidRPr="00000000">
        <w:rPr>
          <w:rtl w:val="0"/>
        </w:rPr>
        <w:t xml:space="preserve">  The comparison of social features and roles (Modern Parallel: Organizational culture and DEI).</w:t>
      </w:r>
    </w:p>
    <w:p w:rsidR="00000000" w:rsidDel="00000000" w:rsidP="00000000" w:rsidRDefault="00000000" w:rsidRPr="00000000" w14:paraId="00000053">
      <w:pPr>
        <w:numPr>
          <w:ilvl w:val="0"/>
          <w:numId w:val="5"/>
        </w:numPr>
        <w:ind w:left="720" w:hanging="360"/>
        <w:rPr>
          <w:u w:val="none"/>
        </w:rPr>
      </w:pPr>
      <w:r w:rsidDel="00000000" w:rsidR="00000000" w:rsidRPr="00000000">
        <w:rPr>
          <w:b w:val="1"/>
          <w:bCs w:val="1"/>
          <w:rtl w:val="0"/>
        </w:rPr>
        <w:t xml:space="preserve">Cultural and Intellectual Developments:</w:t>
      </w:r>
      <w:r w:rsidDel="00000000" w:rsidR="00000000" w:rsidRPr="00000000">
        <w:rPr>
          <w:rtl w:val="0"/>
        </w:rPr>
        <w:t xml:space="preserve">  Ideas, beliefs, and artistic interactions (Modern Parallel: Brand narrative and intellectual property).</w:t>
      </w:r>
    </w:p>
    <w:p w:rsidR="00000000" w:rsidDel="00000000" w:rsidP="00000000" w:rsidRDefault="00000000" w:rsidRPr="00000000" w14:paraId="00000054">
      <w:pPr>
        <w:numPr>
          <w:ilvl w:val="0"/>
          <w:numId w:val="5"/>
        </w:numPr>
        <w:ind w:left="720" w:hanging="360"/>
        <w:rPr>
          <w:u w:val="none"/>
        </w:rPr>
      </w:pPr>
      <w:r w:rsidDel="00000000" w:rsidR="00000000" w:rsidRPr="00000000">
        <w:rPr>
          <w:b w:val="1"/>
          <w:bCs w:val="1"/>
          <w:rtl w:val="0"/>
        </w:rPr>
        <w:t xml:space="preserve">State Functions:</w:t>
      </w:r>
      <w:r w:rsidDel="00000000" w:rsidR="00000000" w:rsidRPr="00000000">
        <w:rPr>
          <w:rtl w:val="0"/>
        </w:rPr>
        <w:t xml:space="preserve">  The structures of states and political identities (Modern Parallel: Corporate governance and regulatory compliance).These themes function as "unifying threads," enabling a leader to place specific operational details into a larger framework of meaning.</w:t>
      </w:r>
    </w:p>
    <w:p w:rsidR="00000000" w:rsidDel="00000000" w:rsidP="00000000" w:rsidRDefault="00000000" w:rsidRPr="00000000" w14:paraId="00000055">
      <w:pPr>
        <w:pStyle w:val="Heading4"/>
        <w:rPr/>
      </w:pPr>
      <w:bookmarkStart w:colFirst="0" w:colLast="0" w:name="_mwk3ldiipe4x" w:id="21"/>
      <w:bookmarkEnd w:id="21"/>
      <w:r w:rsidDel="00000000" w:rsidR="00000000" w:rsidRPr="00000000">
        <w:rPr>
          <w:rtl w:val="0"/>
        </w:rPr>
        <w:t xml:space="preserve">6. Key Terms and Self-Assessment Worksheet</w:t>
      </w:r>
    </w:p>
    <w:p w:rsidR="00000000" w:rsidDel="00000000" w:rsidP="00000000" w:rsidRDefault="00000000" w:rsidRPr="00000000" w14:paraId="00000056">
      <w:pPr>
        <w:pStyle w:val="Heading5"/>
        <w:rPr/>
      </w:pPr>
      <w:bookmarkStart w:colFirst="0" w:colLast="0" w:name="_ul6jggl6iuzh" w:id="22"/>
      <w:bookmarkEnd w:id="22"/>
      <w:r w:rsidDel="00000000" w:rsidR="00000000" w:rsidRPr="00000000">
        <w:rPr>
          <w:rtl w:val="0"/>
        </w:rPr>
        <w:t xml:space="preserve">Decision Log</w:t>
      </w:r>
    </w:p>
    <w:p w:rsidR="00000000" w:rsidDel="00000000" w:rsidP="00000000" w:rsidRDefault="00000000" w:rsidRPr="00000000" w14:paraId="00000057">
      <w:pPr>
        <w:rPr/>
      </w:pPr>
      <w:r w:rsidDel="00000000" w:rsidR="00000000" w:rsidRPr="00000000">
        <w:rPr>
          <w:rtl w:val="0"/>
        </w:rPr>
        <w:t xml:space="preserve">Document your last five significant professional decisions. Classify each as  </w:t>
      </w:r>
      <w:r w:rsidDel="00000000" w:rsidR="00000000" w:rsidRPr="00000000">
        <w:rPr>
          <w:b w:val="1"/>
          <w:bCs w:val="1"/>
          <w:rtl w:val="0"/>
        </w:rPr>
        <w:t xml:space="preserve">Type 1</w:t>
      </w:r>
      <w:r w:rsidDel="00000000" w:rsidR="00000000" w:rsidRPr="00000000">
        <w:rPr>
          <w:rtl w:val="0"/>
        </w:rPr>
        <w:t xml:space="preserve">  (irreversible) or  </w:t>
      </w:r>
      <w:r w:rsidDel="00000000" w:rsidR="00000000" w:rsidRPr="00000000">
        <w:rPr>
          <w:b w:val="1"/>
          <w:bCs w:val="1"/>
          <w:rtl w:val="0"/>
        </w:rPr>
        <w:t xml:space="preserve">Type 2</w:t>
      </w:r>
      <w:r w:rsidDel="00000000" w:rsidR="00000000" w:rsidRPr="00000000">
        <w:rPr>
          <w:rtl w:val="0"/>
        </w:rPr>
        <w:t xml:space="preserve">  (reversible). Identify one instance where you applied a Type 1 process (evidence-heavy) to a Type 2 decision, thereby incurring an unnecessary "speed tax."</w:t>
      </w:r>
    </w:p>
    <w:p w:rsidR="00000000" w:rsidDel="00000000" w:rsidP="00000000" w:rsidRDefault="00000000" w:rsidRPr="00000000" w14:paraId="00000058">
      <w:pPr>
        <w:pStyle w:val="Heading5"/>
        <w:rPr/>
      </w:pPr>
      <w:bookmarkStart w:colFirst="0" w:colLast="0" w:name="_av6gh5akhils" w:id="23"/>
      <w:bookmarkEnd w:id="23"/>
      <w:r w:rsidDel="00000000" w:rsidR="00000000" w:rsidRPr="00000000">
        <w:rPr>
          <w:rtl w:val="0"/>
        </w:rPr>
        <w:t xml:space="preserve">Positioning Test</w:t>
      </w:r>
    </w:p>
    <w:p w:rsidR="00000000" w:rsidDel="00000000" w:rsidP="00000000" w:rsidRDefault="00000000" w:rsidRPr="00000000" w14:paraId="00000059">
      <w:pPr>
        <w:rPr/>
      </w:pPr>
      <w:r w:rsidDel="00000000" w:rsidR="00000000" w:rsidRPr="00000000">
        <w:rPr>
          <w:rtl w:val="0"/>
        </w:rPr>
        <w:t xml:space="preserve">Write a positioning statement for your current project using the template in Section 3. Force yourself to meet the  </w:t>
      </w:r>
      <w:r w:rsidDel="00000000" w:rsidR="00000000" w:rsidRPr="00000000">
        <w:rPr>
          <w:b w:val="1"/>
          <w:bCs w:val="1"/>
          <w:rtl w:val="0"/>
        </w:rPr>
        <w:t xml:space="preserve">12-word limit</w:t>
      </w:r>
      <w:r w:rsidDel="00000000" w:rsidR="00000000" w:rsidRPr="00000000">
        <w:rPr>
          <w:rtl w:val="0"/>
        </w:rPr>
        <w:t xml:space="preserve">  for the total statement. Test this statement on five stakeholders; if they cannot immediately identify your unique value, refine the statement for further clarity.</w:t>
      </w:r>
    </w:p>
    <w:p w:rsidR="00000000" w:rsidDel="00000000" w:rsidP="00000000" w:rsidRDefault="00000000" w:rsidRPr="00000000" w14:paraId="0000005A">
      <w:pPr>
        <w:pStyle w:val="Heading5"/>
        <w:rPr/>
      </w:pPr>
      <w:bookmarkStart w:colFirst="0" w:colLast="0" w:name="_uyvn399qzglv" w:id="24"/>
      <w:bookmarkEnd w:id="24"/>
      <w:r w:rsidDel="00000000" w:rsidR="00000000" w:rsidRPr="00000000">
        <w:rPr>
          <w:rtl w:val="0"/>
        </w:rPr>
        <w:t xml:space="preserve">No-Regret Moves and Scenario Validation</w:t>
      </w:r>
    </w:p>
    <w:p w:rsidR="00000000" w:rsidDel="00000000" w:rsidP="00000000" w:rsidRDefault="00000000" w:rsidRPr="00000000" w14:paraId="0000005B">
      <w:pPr>
        <w:numPr>
          <w:ilvl w:val="0"/>
          <w:numId w:val="8"/>
        </w:numPr>
        <w:ind w:left="720" w:hanging="360"/>
        <w:rPr>
          <w:u w:val="none"/>
        </w:rPr>
      </w:pPr>
      <w:r w:rsidDel="00000000" w:rsidR="00000000" w:rsidRPr="00000000">
        <w:rPr>
          <w:rtl w:val="0"/>
        </w:rPr>
        <w:t xml:space="preserve">Identify your two greatest  </w:t>
      </w:r>
      <w:r w:rsidDel="00000000" w:rsidR="00000000" w:rsidRPr="00000000">
        <w:rPr>
          <w:b w:val="1"/>
          <w:bCs w:val="1"/>
          <w:rtl w:val="0"/>
        </w:rPr>
        <w:t xml:space="preserve">Critical Uncertainties</w:t>
      </w:r>
      <w:r w:rsidDel="00000000" w:rsidR="00000000" w:rsidRPr="00000000">
        <w:rPr>
          <w:rtl w:val="0"/>
        </w:rPr>
        <w:t xml:space="preserve">  for the next fiscal year.</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Construct a mental "Four-Corner Frame" (four worlds) based on these uncertainties.</w:t>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List three  </w:t>
      </w:r>
      <w:r w:rsidDel="00000000" w:rsidR="00000000" w:rsidRPr="00000000">
        <w:rPr>
          <w:b w:val="1"/>
          <w:bCs w:val="1"/>
          <w:rtl w:val="0"/>
        </w:rPr>
        <w:t xml:space="preserve">No-Regret Moves</w:t>
      </w:r>
      <w:r w:rsidDel="00000000" w:rsidR="00000000" w:rsidRPr="00000000">
        <w:rPr>
          <w:rtl w:val="0"/>
        </w:rPr>
        <w:t xml:space="preserve"> .</w:t>
      </w:r>
    </w:p>
    <w:p w:rsidR="00000000" w:rsidDel="00000000" w:rsidP="00000000" w:rsidRDefault="00000000" w:rsidRPr="00000000" w14:paraId="0000005E">
      <w:pPr>
        <w:numPr>
          <w:ilvl w:val="0"/>
          <w:numId w:val="8"/>
        </w:numPr>
        <w:ind w:left="720" w:hanging="360"/>
        <w:rPr>
          <w:u w:val="none"/>
        </w:rPr>
      </w:pPr>
      <w:r w:rsidDel="00000000" w:rsidR="00000000" w:rsidRPr="00000000">
        <w:rPr>
          <w:b w:val="1"/>
          <w:bCs w:val="1"/>
          <w:rtl w:val="0"/>
        </w:rPr>
        <w:t xml:space="preserve">Verification:</w:t>
      </w:r>
      <w:r w:rsidDel="00000000" w:rsidR="00000000" w:rsidRPr="00000000">
        <w:rPr>
          <w:rtl w:val="0"/>
        </w:rPr>
        <w:t xml:space="preserve">  Test each move against all four "worlds." If a move fails to provide a benefit in even one of the worlds, it is a "scenario-contingent move" rather than a "no-regret move." Refine your list until all three moves are viable in every possible future scenario.</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