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z53xfmn0r0fj" w:id="0"/>
      <w:bookmarkEnd w:id="0"/>
      <w:r w:rsidDel="00000000" w:rsidR="00000000" w:rsidRPr="00000000">
        <w:rPr>
          <w:rtl w:val="0"/>
        </w:rPr>
        <w:t xml:space="preserve">Study Guide: Module 2 — Strategy &amp; Competitive Advantage</w:t>
      </w:r>
    </w:p>
    <w:p w:rsidR="00000000" w:rsidDel="00000000" w:rsidP="00000000" w:rsidRDefault="00000000" w:rsidRPr="00000000" w14:paraId="00000002">
      <w:pPr>
        <w:pStyle w:val="Heading5"/>
        <w:rPr/>
      </w:pPr>
      <w:bookmarkStart w:colFirst="0" w:colLast="0" w:name="_stz5w0iuqbkv" w:id="1"/>
      <w:bookmarkEnd w:id="1"/>
      <w:r w:rsidDel="00000000" w:rsidR="00000000" w:rsidRPr="00000000">
        <w:rPr>
          <w:rtl w:val="0"/>
        </w:rPr>
        <w:t xml:space="preserve">1. Overarching Themes for Strategic Analysis</w:t>
      </w:r>
    </w:p>
    <w:p w:rsidR="00000000" w:rsidDel="00000000" w:rsidP="00000000" w:rsidRDefault="00000000" w:rsidRPr="00000000" w14:paraId="00000003">
      <w:pPr>
        <w:rPr/>
      </w:pPr>
      <w:r w:rsidDel="00000000" w:rsidR="00000000" w:rsidRPr="00000000">
        <w:rPr>
          <w:rtl w:val="0"/>
        </w:rPr>
        <w:t xml:space="preserve">To navigate complex global environments, a Senior Strategist must look beyond quarterly reports and analyze the broader structural shifts that define market entry, regulatory risk, and cultural relevance. The following framework, adapted from the AP World History Themes, provides a system for identifying patterns across disparate organizational and historical contexts.| Strategic Theme | Operational Focus || ------ | ------ || </w:t>
      </w:r>
      <w:r w:rsidDel="00000000" w:rsidR="00000000" w:rsidRPr="00000000">
        <w:rPr>
          <w:b w:val="1"/>
          <w:bCs w:val="1"/>
          <w:rtl w:val="0"/>
        </w:rPr>
        <w:t xml:space="preserve">Theme 1: Interactions in Economy and Politics</w:t>
      </w:r>
      <w:r w:rsidDel="00000000" w:rsidR="00000000" w:rsidRPr="00000000">
        <w:rPr>
          <w:rtl w:val="0"/>
        </w:rPr>
        <w:t xml:space="preserve"> | Analysis of international exchange systems and diplomacy.  </w:t>
      </w:r>
      <w:r w:rsidDel="00000000" w:rsidR="00000000" w:rsidRPr="00000000">
        <w:rPr>
          <w:b w:val="1"/>
          <w:bCs w:val="1"/>
          <w:rtl w:val="0"/>
        </w:rPr>
        <w:t xml:space="preserve">Operational focus:</w:t>
      </w:r>
      <w:r w:rsidDel="00000000" w:rsidR="00000000" w:rsidRPr="00000000">
        <w:rPr>
          <w:rtl w:val="0"/>
        </w:rPr>
        <w:t xml:space="preserve">  Trade patterns (e.g., Silk Roads, Trans-Saharan gold-salt trade), monsoon wind hazards, and inter-empire intellectual exchanges. || </w:t>
      </w:r>
      <w:r w:rsidDel="00000000" w:rsidR="00000000" w:rsidRPr="00000000">
        <w:rPr>
          <w:b w:val="1"/>
          <w:bCs w:val="1"/>
          <w:rtl w:val="0"/>
        </w:rPr>
        <w:t xml:space="preserve">Theme 2: Change and Continuity</w:t>
      </w:r>
      <w:r w:rsidDel="00000000" w:rsidR="00000000" w:rsidRPr="00000000">
        <w:rPr>
          <w:rtl w:val="0"/>
        </w:rPr>
        <w:t xml:space="preserve"> | Tracking the relationship of evolution vs. stability.  </w:t>
      </w:r>
      <w:r w:rsidDel="00000000" w:rsidR="00000000" w:rsidRPr="00000000">
        <w:rPr>
          <w:b w:val="1"/>
          <w:bCs w:val="1"/>
          <w:rtl w:val="0"/>
        </w:rPr>
        <w:t xml:space="preserve">Operational focus:</w:t>
      </w:r>
      <w:r w:rsidDel="00000000" w:rsidR="00000000" w:rsidRPr="00000000">
        <w:rPr>
          <w:rtl w:val="0"/>
        </w:rPr>
        <w:t xml:space="preserve">  Axial age concepts, universalizing legal codes (Hammurabi, Code of Justinian), and the change in leadership requirements over time. || </w:t>
      </w:r>
      <w:r w:rsidDel="00000000" w:rsidR="00000000" w:rsidRPr="00000000">
        <w:rPr>
          <w:b w:val="1"/>
          <w:bCs w:val="1"/>
          <w:rtl w:val="0"/>
        </w:rPr>
        <w:t xml:space="preserve">Theme 3: Technology, Demography, and Environment</w:t>
      </w:r>
      <w:r w:rsidDel="00000000" w:rsidR="00000000" w:rsidRPr="00000000">
        <w:rPr>
          <w:rtl w:val="0"/>
        </w:rPr>
        <w:t xml:space="preserve"> | Assessing the impact of manufacturing and migration on growth.  </w:t>
      </w:r>
      <w:r w:rsidDel="00000000" w:rsidR="00000000" w:rsidRPr="00000000">
        <w:rPr>
          <w:b w:val="1"/>
          <w:bCs w:val="1"/>
          <w:rtl w:val="0"/>
        </w:rPr>
        <w:t xml:space="preserve">Operational focus:</w:t>
      </w:r>
      <w:r w:rsidDel="00000000" w:rsidR="00000000" w:rsidRPr="00000000">
        <w:rPr>
          <w:rtl w:val="0"/>
        </w:rPr>
        <w:t xml:space="preserve">  Malthusian theory, population graphs, and the debate over industrial revolutions (e.g., Song China). || </w:t>
      </w:r>
      <w:r w:rsidDel="00000000" w:rsidR="00000000" w:rsidRPr="00000000">
        <w:rPr>
          <w:b w:val="1"/>
          <w:bCs w:val="1"/>
          <w:rtl w:val="0"/>
        </w:rPr>
        <w:t xml:space="preserve">Theme 4: Systems of Social and Gender Structure</w:t>
      </w:r>
      <w:r w:rsidDel="00000000" w:rsidR="00000000" w:rsidRPr="00000000">
        <w:rPr>
          <w:rtl w:val="0"/>
        </w:rPr>
        <w:t xml:space="preserve"> | Evaluating features within and among societies to determine cultural friction.  </w:t>
      </w:r>
      <w:r w:rsidDel="00000000" w:rsidR="00000000" w:rsidRPr="00000000">
        <w:rPr>
          <w:b w:val="1"/>
          <w:bCs w:val="1"/>
          <w:rtl w:val="0"/>
        </w:rPr>
        <w:t xml:space="preserve">Operational focus:</w:t>
      </w:r>
      <w:r w:rsidDel="00000000" w:rsidR="00000000" w:rsidRPr="00000000">
        <w:rPr>
          <w:rtl w:val="0"/>
        </w:rPr>
        <w:t xml:space="preserve">  Patriarchy, social hierarchies, and the interrelationship of urbanization and architecture (e.g., Han vs. Gupta). || </w:t>
      </w:r>
      <w:r w:rsidDel="00000000" w:rsidR="00000000" w:rsidRPr="00000000">
        <w:rPr>
          <w:b w:val="1"/>
          <w:bCs w:val="1"/>
          <w:rtl w:val="0"/>
        </w:rPr>
        <w:t xml:space="preserve">Theme 5: Cultural and Intellectual Developments</w:t>
      </w:r>
      <w:r w:rsidDel="00000000" w:rsidR="00000000" w:rsidRPr="00000000">
        <w:rPr>
          <w:rtl w:val="0"/>
        </w:rPr>
        <w:t xml:space="preserve"> | Identifying ideological interactions.  </w:t>
      </w:r>
      <w:r w:rsidDel="00000000" w:rsidR="00000000" w:rsidRPr="00000000">
        <w:rPr>
          <w:b w:val="1"/>
          <w:bCs w:val="1"/>
          <w:rtl w:val="0"/>
        </w:rPr>
        <w:t xml:space="preserve">Operational focus:</w:t>
      </w:r>
      <w:r w:rsidDel="00000000" w:rsidR="00000000" w:rsidRPr="00000000">
        <w:rPr>
          <w:rtl w:val="0"/>
        </w:rPr>
        <w:t xml:space="preserve">  Impact of Islamic scholarship on Europe, Greek scientific approaches, and the acceptance of vs. resistance to globalization. || </w:t>
      </w:r>
      <w:r w:rsidDel="00000000" w:rsidR="00000000" w:rsidRPr="00000000">
        <w:rPr>
          <w:b w:val="1"/>
          <w:bCs w:val="1"/>
          <w:rtl w:val="0"/>
        </w:rPr>
        <w:t xml:space="preserve">Theme 6: Changing Functions of States</w:t>
      </w:r>
      <w:r w:rsidDel="00000000" w:rsidR="00000000" w:rsidRPr="00000000">
        <w:rPr>
          <w:rtl w:val="0"/>
        </w:rPr>
        <w:t xml:space="preserve"> | Understanding shifts in political organization and national identity.  </w:t>
      </w:r>
      <w:r w:rsidDel="00000000" w:rsidR="00000000" w:rsidRPr="00000000">
        <w:rPr>
          <w:b w:val="1"/>
          <w:bCs w:val="1"/>
          <w:rtl w:val="0"/>
        </w:rPr>
        <w:t xml:space="preserve">Operational focus:</w:t>
      </w:r>
      <w:r w:rsidDel="00000000" w:rsidR="00000000" w:rsidRPr="00000000">
        <w:rPr>
          <w:rtl w:val="0"/>
        </w:rPr>
        <w:t xml:space="preserve">  Nation-state emergence, types of political systems (e.g., feudalism, monarchies), and Western dominance vs. continued Chinese growth. |</w:t>
      </w:r>
    </w:p>
    <w:p w:rsidR="00000000" w:rsidDel="00000000" w:rsidP="00000000" w:rsidRDefault="00000000" w:rsidRPr="00000000" w14:paraId="00000004">
      <w:pPr>
        <w:pStyle w:val="Heading5"/>
        <w:rPr/>
      </w:pPr>
      <w:bookmarkStart w:colFirst="0" w:colLast="0" w:name="_hymnxeefokn3" w:id="2"/>
      <w:bookmarkEnd w:id="2"/>
      <w:r w:rsidDel="00000000" w:rsidR="00000000" w:rsidRPr="00000000">
        <w:rPr>
          <w:rtl w:val="0"/>
        </w:rPr>
        <w:t xml:space="preserve">2. Decision-Making Architecture: The RAPID Framework</w:t>
      </w:r>
    </w:p>
    <w:p w:rsidR="00000000" w:rsidDel="00000000" w:rsidP="00000000" w:rsidRDefault="00000000" w:rsidRPr="00000000" w14:paraId="00000005">
      <w:pPr>
        <w:rPr/>
      </w:pPr>
      <w:r w:rsidDel="00000000" w:rsidR="00000000" w:rsidRPr="00000000">
        <w:rPr>
          <w:rtl w:val="0"/>
        </w:rPr>
        <w:t xml:space="preserve">The primary differentiator between high-velocity organizations and stagnant ones is not the quality of their ideas, but the speed of their decisions. Assigning clear accountability is the first step toward effective execution.</w:t>
      </w:r>
    </w:p>
    <w:p w:rsidR="00000000" w:rsidDel="00000000" w:rsidP="00000000" w:rsidRDefault="00000000" w:rsidRPr="00000000" w14:paraId="00000006">
      <w:pPr>
        <w:numPr>
          <w:ilvl w:val="0"/>
          <w:numId w:val="7"/>
        </w:numPr>
        <w:ind w:left="720" w:hanging="360"/>
        <w:rPr>
          <w:b w:val="1"/>
          <w:bCs w:val="1"/>
          <w:u w:val="none"/>
        </w:rPr>
      </w:pPr>
      <w:r w:rsidDel="00000000" w:rsidR="00000000" w:rsidRPr="00000000">
        <w:rPr>
          <w:b w:val="1"/>
          <w:bCs w:val="1"/>
          <w:rtl w:val="0"/>
        </w:rPr>
        <w:t xml:space="preserve">The RAPID Acronym:</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Recommend:</w:t>
      </w:r>
      <w:r w:rsidDel="00000000" w:rsidR="00000000" w:rsidRPr="00000000">
        <w:rPr>
          <w:rtl w:val="0"/>
        </w:rPr>
        <w:t xml:space="preserve">  Propose a specific course of action based on facts.</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Agree:</w:t>
      </w:r>
      <w:r w:rsidDel="00000000" w:rsidR="00000000" w:rsidRPr="00000000">
        <w:rPr>
          <w:rtl w:val="0"/>
        </w:rPr>
        <w:t xml:space="preserve">  Sign off on the recommendation, ensuring it aligns with broader goals.</w:t>
      </w:r>
    </w:p>
    <w:p w:rsidR="00000000" w:rsidDel="00000000" w:rsidP="00000000" w:rsidRDefault="00000000" w:rsidRPr="00000000" w14:paraId="00000009">
      <w:pPr>
        <w:numPr>
          <w:ilvl w:val="0"/>
          <w:numId w:val="7"/>
        </w:numPr>
        <w:ind w:left="720" w:hanging="360"/>
        <w:rPr>
          <w:u w:val="none"/>
        </w:rPr>
      </w:pPr>
      <w:r w:rsidDel="00000000" w:rsidR="00000000" w:rsidRPr="00000000">
        <w:rPr>
          <w:b w:val="1"/>
          <w:bCs w:val="1"/>
          <w:rtl w:val="0"/>
        </w:rPr>
        <w:t xml:space="preserve">Perform:</w:t>
      </w:r>
      <w:r w:rsidDel="00000000" w:rsidR="00000000" w:rsidRPr="00000000">
        <w:rPr>
          <w:rtl w:val="0"/>
        </w:rPr>
        <w:t xml:space="preserve">  Execute the decision once it is finalized.</w:t>
      </w:r>
    </w:p>
    <w:p w:rsidR="00000000" w:rsidDel="00000000" w:rsidP="00000000" w:rsidRDefault="00000000" w:rsidRPr="00000000" w14:paraId="0000000A">
      <w:pPr>
        <w:numPr>
          <w:ilvl w:val="0"/>
          <w:numId w:val="7"/>
        </w:numPr>
        <w:ind w:left="720" w:hanging="360"/>
        <w:rPr>
          <w:u w:val="none"/>
        </w:rPr>
      </w:pPr>
      <w:r w:rsidDel="00000000" w:rsidR="00000000" w:rsidRPr="00000000">
        <w:rPr>
          <w:b w:val="1"/>
          <w:bCs w:val="1"/>
          <w:rtl w:val="0"/>
        </w:rPr>
        <w:t xml:space="preserve">Input:</w:t>
      </w:r>
      <w:r w:rsidDel="00000000" w:rsidR="00000000" w:rsidRPr="00000000">
        <w:rPr>
          <w:rtl w:val="0"/>
        </w:rPr>
        <w:t xml:space="preserve">  Provide the raw data and facts required to inform the recommendation.</w:t>
      </w:r>
    </w:p>
    <w:p w:rsidR="00000000" w:rsidDel="00000000" w:rsidP="00000000" w:rsidRDefault="00000000" w:rsidRPr="00000000" w14:paraId="0000000B">
      <w:pPr>
        <w:numPr>
          <w:ilvl w:val="0"/>
          <w:numId w:val="7"/>
        </w:numPr>
        <w:ind w:left="720" w:hanging="360"/>
        <w:rPr>
          <w:u w:val="none"/>
        </w:rPr>
      </w:pPr>
      <w:r w:rsidDel="00000000" w:rsidR="00000000" w:rsidRPr="00000000">
        <w:rPr>
          <w:b w:val="1"/>
          <w:bCs w:val="1"/>
          <w:rtl w:val="0"/>
        </w:rPr>
        <w:t xml:space="preserve">Decide:</w:t>
      </w:r>
      <w:r w:rsidDel="00000000" w:rsidR="00000000" w:rsidRPr="00000000">
        <w:rPr>
          <w:rtl w:val="0"/>
        </w:rPr>
        <w:t xml:space="preserve">  The single point of accountability. Assign exactly  </w:t>
      </w:r>
      <w:r w:rsidDel="00000000" w:rsidR="00000000" w:rsidRPr="00000000">
        <w:rPr>
          <w:b w:val="1"/>
          <w:bCs w:val="1"/>
          <w:rtl w:val="0"/>
        </w:rPr>
        <w:t xml:space="preserve">one Decider</w:t>
      </w:r>
      <w:r w:rsidDel="00000000" w:rsidR="00000000" w:rsidRPr="00000000">
        <w:rPr>
          <w:rtl w:val="0"/>
        </w:rPr>
        <w:t xml:space="preserve">  per decision to avoid consensus-driven paralysis.</w:t>
      </w:r>
    </w:p>
    <w:p w:rsidR="00000000" w:rsidDel="00000000" w:rsidP="00000000" w:rsidRDefault="00000000" w:rsidRPr="00000000" w14:paraId="0000000C">
      <w:pPr>
        <w:numPr>
          <w:ilvl w:val="0"/>
          <w:numId w:val="7"/>
        </w:numPr>
        <w:ind w:left="720" w:hanging="360"/>
        <w:rPr>
          <w:b w:val="1"/>
          <w:bCs w:val="1"/>
        </w:rPr>
      </w:pPr>
      <w:r w:rsidDel="00000000" w:rsidR="00000000" w:rsidRPr="00000000">
        <w:rPr>
          <w:b w:val="1"/>
          <w:bCs w:val="1"/>
          <w:rtl w:val="0"/>
        </w:rPr>
        <w:t xml:space="preserve">The Decision Quality Six:</w:t>
      </w:r>
    </w:p>
    <w:p w:rsidR="00000000" w:rsidDel="00000000" w:rsidP="00000000" w:rsidRDefault="00000000" w:rsidRPr="00000000" w14:paraId="0000000D">
      <w:pPr>
        <w:numPr>
          <w:ilvl w:val="0"/>
          <w:numId w:val="7"/>
        </w:numPr>
        <w:ind w:left="720" w:hanging="360"/>
        <w:rPr>
          <w:u w:val="none"/>
        </w:rPr>
      </w:pPr>
      <w:r w:rsidDel="00000000" w:rsidR="00000000" w:rsidRPr="00000000">
        <w:rPr>
          <w:b w:val="1"/>
          <w:bCs w:val="1"/>
          <w:rtl w:val="0"/>
        </w:rPr>
        <w:t xml:space="preserve">Frame:</w:t>
      </w:r>
      <w:r w:rsidDel="00000000" w:rsidR="00000000" w:rsidRPr="00000000">
        <w:rPr>
          <w:rtl w:val="0"/>
        </w:rPr>
        <w:t xml:space="preserve">  Defining the right question and the correct scope before seeking answers.</w:t>
      </w:r>
    </w:p>
    <w:p w:rsidR="00000000" w:rsidDel="00000000" w:rsidP="00000000" w:rsidRDefault="00000000" w:rsidRPr="00000000" w14:paraId="0000000E">
      <w:pPr>
        <w:numPr>
          <w:ilvl w:val="0"/>
          <w:numId w:val="7"/>
        </w:numPr>
        <w:ind w:left="720" w:hanging="360"/>
        <w:rPr>
          <w:u w:val="none"/>
        </w:rPr>
      </w:pPr>
      <w:r w:rsidDel="00000000" w:rsidR="00000000" w:rsidRPr="00000000">
        <w:rPr>
          <w:b w:val="1"/>
          <w:bCs w:val="1"/>
          <w:rtl w:val="0"/>
        </w:rPr>
        <w:t xml:space="preserve">Alternatives:</w:t>
      </w:r>
      <w:r w:rsidDel="00000000" w:rsidR="00000000" w:rsidRPr="00000000">
        <w:rPr>
          <w:rtl w:val="0"/>
        </w:rPr>
        <w:t xml:space="preserve">  Evaluating at least three viable options, including the "do nothing" path.</w:t>
      </w:r>
    </w:p>
    <w:p w:rsidR="00000000" w:rsidDel="00000000" w:rsidP="00000000" w:rsidRDefault="00000000" w:rsidRPr="00000000" w14:paraId="0000000F">
      <w:pPr>
        <w:numPr>
          <w:ilvl w:val="0"/>
          <w:numId w:val="7"/>
        </w:numPr>
        <w:ind w:left="720" w:hanging="360"/>
        <w:rPr>
          <w:u w:val="none"/>
        </w:rPr>
      </w:pPr>
      <w:r w:rsidDel="00000000" w:rsidR="00000000" w:rsidRPr="00000000">
        <w:rPr>
          <w:b w:val="1"/>
          <w:bCs w:val="1"/>
          <w:rtl w:val="0"/>
        </w:rPr>
        <w:t xml:space="preserve">Information:</w:t>
      </w:r>
      <w:r w:rsidDel="00000000" w:rsidR="00000000" w:rsidRPr="00000000">
        <w:rPr>
          <w:rtl w:val="0"/>
        </w:rPr>
        <w:t xml:space="preserve">  Leveraging relevant data while being honest about inherent uncertainty.</w:t>
      </w:r>
    </w:p>
    <w:p w:rsidR="00000000" w:rsidDel="00000000" w:rsidP="00000000" w:rsidRDefault="00000000" w:rsidRPr="00000000" w14:paraId="00000010">
      <w:pPr>
        <w:numPr>
          <w:ilvl w:val="0"/>
          <w:numId w:val="7"/>
        </w:numPr>
        <w:ind w:left="720" w:hanging="360"/>
        <w:rPr>
          <w:u w:val="none"/>
        </w:rPr>
      </w:pPr>
      <w:r w:rsidDel="00000000" w:rsidR="00000000" w:rsidRPr="00000000">
        <w:rPr>
          <w:b w:val="1"/>
          <w:bCs w:val="1"/>
          <w:rtl w:val="0"/>
        </w:rPr>
        <w:t xml:space="preserve">Values:</w:t>
      </w:r>
      <w:r w:rsidDel="00000000" w:rsidR="00000000" w:rsidRPr="00000000">
        <w:rPr>
          <w:rtl w:val="0"/>
        </w:rPr>
        <w:t xml:space="preserve">  Making explicit the trade-offs and priorities involved in the choice.</w:t>
      </w:r>
    </w:p>
    <w:p w:rsidR="00000000" w:rsidDel="00000000" w:rsidP="00000000" w:rsidRDefault="00000000" w:rsidRPr="00000000" w14:paraId="00000011">
      <w:pPr>
        <w:numPr>
          <w:ilvl w:val="0"/>
          <w:numId w:val="7"/>
        </w:numPr>
        <w:ind w:left="720" w:hanging="360"/>
        <w:rPr>
          <w:u w:val="none"/>
        </w:rPr>
      </w:pPr>
      <w:r w:rsidDel="00000000" w:rsidR="00000000" w:rsidRPr="00000000">
        <w:rPr>
          <w:b w:val="1"/>
          <w:bCs w:val="1"/>
          <w:rtl w:val="0"/>
        </w:rPr>
        <w:t xml:space="preserve">Logic:</w:t>
      </w:r>
      <w:r w:rsidDel="00000000" w:rsidR="00000000" w:rsidRPr="00000000">
        <w:rPr>
          <w:rtl w:val="0"/>
        </w:rPr>
        <w:t xml:space="preserve">  Applying sound, rigorous reasoning to the available information.</w:t>
      </w:r>
    </w:p>
    <w:p w:rsidR="00000000" w:rsidDel="00000000" w:rsidP="00000000" w:rsidRDefault="00000000" w:rsidRPr="00000000" w14:paraId="00000012">
      <w:pPr>
        <w:numPr>
          <w:ilvl w:val="0"/>
          <w:numId w:val="7"/>
        </w:numPr>
        <w:ind w:left="720" w:hanging="360"/>
        <w:rPr>
          <w:u w:val="none"/>
        </w:rPr>
      </w:pPr>
      <w:r w:rsidDel="00000000" w:rsidR="00000000" w:rsidRPr="00000000">
        <w:rPr>
          <w:b w:val="1"/>
          <w:bCs w:val="1"/>
          <w:rtl w:val="0"/>
        </w:rPr>
        <w:t xml:space="preserve">Commitment:</w:t>
      </w:r>
      <w:r w:rsidDel="00000000" w:rsidR="00000000" w:rsidRPr="00000000">
        <w:rPr>
          <w:rtl w:val="0"/>
        </w:rPr>
        <w:t xml:space="preserve">  Ensuring full organizational follow-through once the decision is reached.</w:t>
      </w:r>
    </w:p>
    <w:p w:rsidR="00000000" w:rsidDel="00000000" w:rsidP="00000000" w:rsidRDefault="00000000" w:rsidRPr="00000000" w14:paraId="00000013">
      <w:pPr>
        <w:numPr>
          <w:ilvl w:val="0"/>
          <w:numId w:val="7"/>
        </w:numPr>
        <w:ind w:left="720" w:hanging="360"/>
        <w:rPr>
          <w:u w:val="none"/>
        </w:rPr>
      </w:pPr>
      <w:r w:rsidDel="00000000" w:rsidR="00000000" w:rsidRPr="00000000">
        <w:rPr>
          <w:b w:val="1"/>
          <w:bCs w:val="1"/>
          <w:rtl w:val="0"/>
        </w:rPr>
        <w:t xml:space="preserve">The Velocity Principle:</w:t>
      </w:r>
      <w:r w:rsidDel="00000000" w:rsidR="00000000" w:rsidRPr="00000000">
        <w:rPr>
          <w:rtl w:val="0"/>
        </w:rPr>
        <w:t xml:space="preserve">  Use  </w:t>
      </w:r>
      <w:r w:rsidDel="00000000" w:rsidR="00000000" w:rsidRPr="00000000">
        <w:rPr>
          <w:b w:val="1"/>
          <w:bCs w:val="1"/>
          <w:rtl w:val="0"/>
        </w:rPr>
        <w:t xml:space="preserve">"Disagree-and-Commit"</w:t>
      </w:r>
      <w:r w:rsidDel="00000000" w:rsidR="00000000" w:rsidRPr="00000000">
        <w:rPr>
          <w:rtl w:val="0"/>
        </w:rPr>
        <w:t xml:space="preserve">  to break deadlocks. Once the Decider has made a choice, the team must move forward with full support. Action beats consensus every time.</w:t>
      </w:r>
    </w:p>
    <w:p w:rsidR="00000000" w:rsidDel="00000000" w:rsidP="00000000" w:rsidRDefault="00000000" w:rsidRPr="00000000" w14:paraId="00000014">
      <w:pPr>
        <w:pStyle w:val="Heading5"/>
        <w:rPr/>
      </w:pPr>
      <w:bookmarkStart w:colFirst="0" w:colLast="0" w:name="_xar02euj4c63" w:id="3"/>
      <w:bookmarkEnd w:id="3"/>
      <w:r w:rsidDel="00000000" w:rsidR="00000000" w:rsidRPr="00000000">
        <w:rPr>
          <w:rtl w:val="0"/>
        </w:rPr>
        <w:t xml:space="preserve">3. The Reversibility Test: Type 1 vs. Type 2 Decisions</w:t>
      </w:r>
    </w:p>
    <w:p w:rsidR="00000000" w:rsidDel="00000000" w:rsidP="00000000" w:rsidRDefault="00000000" w:rsidRPr="00000000" w14:paraId="00000015">
      <w:pPr>
        <w:rPr/>
      </w:pPr>
      <w:r w:rsidDel="00000000" w:rsidR="00000000" w:rsidRPr="00000000">
        <w:rPr>
          <w:rtl w:val="0"/>
        </w:rPr>
        <w:t xml:space="preserve">Strategic discipline requires matching the rigor of your analysis to the stakes of the outcome. Most organizations fail because they apply a slow, cautious process to decisions that are easily corrected.| Feature | Type 1 (One-Way Doors) | Type 2 (Two-Way Doors) || ------ | ------ | ------ || </w:t>
      </w:r>
      <w:r w:rsidDel="00000000" w:rsidR="00000000" w:rsidRPr="00000000">
        <w:rPr>
          <w:b w:val="1"/>
          <w:bCs w:val="1"/>
          <w:rtl w:val="0"/>
        </w:rPr>
        <w:t xml:space="preserve">Definition</w:t>
      </w:r>
      <w:r w:rsidDel="00000000" w:rsidR="00000000" w:rsidRPr="00000000">
        <w:rPr>
          <w:rtl w:val="0"/>
        </w:rPr>
        <w:t xml:space="preserve"> | Irreversible or highly consequential decisions. | Reversible decisions with lower impact. || </w:t>
      </w:r>
      <w:r w:rsidDel="00000000" w:rsidR="00000000" w:rsidRPr="00000000">
        <w:rPr>
          <w:b w:val="1"/>
          <w:bCs w:val="1"/>
          <w:rtl w:val="0"/>
        </w:rPr>
        <w:t xml:space="preserve">Stakes</w:t>
      </w:r>
      <w:r w:rsidDel="00000000" w:rsidR="00000000" w:rsidRPr="00000000">
        <w:rPr>
          <w:rtl w:val="0"/>
        </w:rPr>
        <w:t xml:space="preserve"> | High stakes; mistakes are fatal or very costly. | Low stakes; mistakes can be unwound quickly. || </w:t>
      </w:r>
      <w:r w:rsidDel="00000000" w:rsidR="00000000" w:rsidRPr="00000000">
        <w:rPr>
          <w:b w:val="1"/>
          <w:bCs w:val="1"/>
          <w:rtl w:val="0"/>
        </w:rPr>
        <w:t xml:space="preserve">Required Speed</w:t>
      </w:r>
      <w:r w:rsidDel="00000000" w:rsidR="00000000" w:rsidRPr="00000000">
        <w:rPr>
          <w:rtl w:val="0"/>
        </w:rPr>
        <w:t xml:space="preserve"> | Deliberate and cautious. | Fast and agile. || </w:t>
      </w:r>
      <w:r w:rsidDel="00000000" w:rsidR="00000000" w:rsidRPr="00000000">
        <w:rPr>
          <w:b w:val="1"/>
          <w:bCs w:val="1"/>
          <w:rtl w:val="0"/>
        </w:rPr>
        <w:t xml:space="preserve">Evidence Level</w:t>
      </w:r>
      <w:r w:rsidDel="00000000" w:rsidR="00000000" w:rsidRPr="00000000">
        <w:rPr>
          <w:rtl w:val="0"/>
        </w:rPr>
        <w:t xml:space="preserve"> | Heavy evidence and deep analytical rigor. | Judgment-led; speed is prioritized. |</w:t>
      </w:r>
    </w:p>
    <w:p w:rsidR="00000000" w:rsidDel="00000000" w:rsidP="00000000" w:rsidRDefault="00000000" w:rsidRPr="00000000" w14:paraId="00000016">
      <w:pPr>
        <w:rPr/>
      </w:pPr>
      <w:r w:rsidDel="00000000" w:rsidR="00000000" w:rsidRPr="00000000">
        <w:rPr>
          <w:b w:val="1"/>
          <w:bCs w:val="1"/>
          <w:rtl w:val="0"/>
        </w:rPr>
        <w:t xml:space="preserve">Strategic Guardrail:</w:t>
      </w:r>
      <w:r w:rsidDel="00000000" w:rsidR="00000000" w:rsidRPr="00000000">
        <w:rPr>
          <w:rtl w:val="0"/>
        </w:rPr>
        <w:t xml:space="preserve">  When organizations over-deliberate on Type 2 decisions, they pay a "tax in speed." If a decision is reversible, move fast—70% of information is usually enough.</w:t>
      </w:r>
    </w:p>
    <w:p w:rsidR="00000000" w:rsidDel="00000000" w:rsidP="00000000" w:rsidRDefault="00000000" w:rsidRPr="00000000" w14:paraId="00000017">
      <w:pPr>
        <w:pStyle w:val="Heading5"/>
        <w:rPr/>
      </w:pPr>
      <w:bookmarkStart w:colFirst="0" w:colLast="0" w:name="_f6aohn3zoxcb" w:id="4"/>
      <w:bookmarkEnd w:id="4"/>
      <w:r w:rsidDel="00000000" w:rsidR="00000000" w:rsidRPr="00000000">
        <w:rPr>
          <w:rtl w:val="0"/>
        </w:rPr>
        <w:t xml:space="preserve">4. Analytical Tools: Forecasting and Scenario Planning</w:t>
      </w:r>
    </w:p>
    <w:p w:rsidR="00000000" w:rsidDel="00000000" w:rsidP="00000000" w:rsidRDefault="00000000" w:rsidRPr="00000000" w14:paraId="00000018">
      <w:pPr>
        <w:rPr>
          <w:b w:val="1"/>
          <w:bCs w:val="1"/>
        </w:rPr>
      </w:pPr>
      <w:r w:rsidDel="00000000" w:rsidR="00000000" w:rsidRPr="00000000">
        <w:rPr>
          <w:rtl w:val="0"/>
        </w:rPr>
        <w:t xml:space="preserve">Strategy is the art of navigating uncertainty. This requires two distinct but complementary cognitive tools: narrowing the future and preparing for it.</w:t>
      </w:r>
      <w:r w:rsidDel="00000000" w:rsidR="00000000" w:rsidRPr="00000000">
        <w:rPr>
          <w:b w:val="1"/>
          <w:bCs w:val="1"/>
          <w:rtl w:val="0"/>
        </w:rPr>
        <w:t xml:space="preserve">A forecast is a structured opinion about the future, expressed as a probability distribution. A scenario is a coherent story about a possible future. Forecasts narrow uncertainty; scenarios prepare you for it. You need both.</w:t>
      </w:r>
    </w:p>
    <w:p w:rsidR="00000000" w:rsidDel="00000000" w:rsidP="00000000" w:rsidRDefault="00000000" w:rsidRPr="00000000" w14:paraId="00000019">
      <w:pPr>
        <w:numPr>
          <w:ilvl w:val="0"/>
          <w:numId w:val="1"/>
        </w:numPr>
        <w:ind w:left="720" w:hanging="360"/>
        <w:rPr>
          <w:b w:val="1"/>
          <w:bCs w:val="1"/>
          <w:u w:val="none"/>
        </w:rPr>
      </w:pPr>
      <w:r w:rsidDel="00000000" w:rsidR="00000000" w:rsidRPr="00000000">
        <w:rPr>
          <w:b w:val="1"/>
          <w:bCs w:val="1"/>
          <w:rtl w:val="0"/>
        </w:rPr>
        <w:t xml:space="preserve">Four Forecasting Methods:</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Top-down:</w:t>
      </w:r>
      <w:r w:rsidDel="00000000" w:rsidR="00000000" w:rsidRPr="00000000">
        <w:rPr>
          <w:rtl w:val="0"/>
        </w:rPr>
        <w:t xml:space="preserve">  Assessing the total market size and estimating your expected share.</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Bottom-up:</w:t>
      </w:r>
      <w:r w:rsidDel="00000000" w:rsidR="00000000" w:rsidRPr="00000000">
        <w:rPr>
          <w:rtl w:val="0"/>
        </w:rPr>
        <w:t xml:space="preserve">  Aggregating specific components (e.g., rep quotas or customer-level ARPU).</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Time series:</w:t>
      </w:r>
      <w:r w:rsidDel="00000000" w:rsidR="00000000" w:rsidRPr="00000000">
        <w:rPr>
          <w:rtl w:val="0"/>
        </w:rPr>
        <w:t xml:space="preserve">  Extrapolating future trends by analyzing historical data patterns.</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Driver-based:</w:t>
      </w:r>
      <w:r w:rsidDel="00000000" w:rsidR="00000000" w:rsidRPr="00000000">
        <w:rPr>
          <w:rtl w:val="0"/>
        </w:rPr>
        <w:t xml:space="preserve">  Calculating outcomes based on specific variables (e.g., Traffic × Conversion × Average Order Value).</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Scenario Planning (Four-Corner Frame):</w:t>
      </w:r>
      <w:r w:rsidDel="00000000" w:rsidR="00000000" w:rsidRPr="00000000">
        <w:rPr>
          <w:rtl w:val="0"/>
        </w:rPr>
        <w:t xml:space="preserve">  Identify two critical uncertainties (e.g., regulatory shifts or customer demand). Build "four worlds" at the intersections of these variables. Stress-test your strategy in each world to identify  </w:t>
      </w:r>
      <w:r w:rsidDel="00000000" w:rsidR="00000000" w:rsidRPr="00000000">
        <w:rPr>
          <w:b w:val="1"/>
          <w:bCs w:val="1"/>
          <w:rtl w:val="0"/>
        </w:rPr>
        <w:t xml:space="preserve">no-regret moves</w:t>
      </w:r>
      <w:r w:rsidDel="00000000" w:rsidR="00000000" w:rsidRPr="00000000">
        <w:rPr>
          <w:rtl w:val="0"/>
        </w:rPr>
        <w:t xml:space="preserve"> —actions that provide a competitive advantage regardless of which scenario manifests.</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Forecast Quality Metrics:</w:t>
      </w:r>
      <w:r w:rsidDel="00000000" w:rsidR="00000000" w:rsidRPr="00000000">
        <w:rPr>
          <w:rtl w:val="0"/>
        </w:rPr>
        <w:t xml:space="preserve">  Track  </w:t>
      </w:r>
      <w:r w:rsidDel="00000000" w:rsidR="00000000" w:rsidRPr="00000000">
        <w:rPr>
          <w:b w:val="1"/>
          <w:bCs w:val="1"/>
          <w:rtl w:val="0"/>
        </w:rPr>
        <w:t xml:space="preserve">Calibration</w:t>
      </w:r>
      <w:r w:rsidDel="00000000" w:rsidR="00000000" w:rsidRPr="00000000">
        <w:rPr>
          <w:rtl w:val="0"/>
        </w:rPr>
        <w:t xml:space="preserve">  (do your 90% confidence intervals hold true 90% of the time?),  </w:t>
      </w:r>
      <w:r w:rsidDel="00000000" w:rsidR="00000000" w:rsidRPr="00000000">
        <w:rPr>
          <w:b w:val="1"/>
          <w:bCs w:val="1"/>
          <w:rtl w:val="0"/>
        </w:rPr>
        <w:t xml:space="preserve">Resolution</w:t>
      </w:r>
      <w:r w:rsidDel="00000000" w:rsidR="00000000" w:rsidRPr="00000000">
        <w:rPr>
          <w:rtl w:val="0"/>
        </w:rPr>
        <w:t xml:space="preserve">  (are your forecasts sharp and specific?), and  </w:t>
      </w:r>
      <w:r w:rsidDel="00000000" w:rsidR="00000000" w:rsidRPr="00000000">
        <w:rPr>
          <w:b w:val="1"/>
          <w:bCs w:val="1"/>
          <w:rtl w:val="0"/>
        </w:rPr>
        <w:t xml:space="preserve">Bias</w:t>
      </w:r>
      <w:r w:rsidDel="00000000" w:rsidR="00000000" w:rsidRPr="00000000">
        <w:rPr>
          <w:rtl w:val="0"/>
        </w:rPr>
        <w:t xml:space="preserve">  (are you systematically over-shooting or under-shooting?).</w:t>
      </w:r>
    </w:p>
    <w:p w:rsidR="00000000" w:rsidDel="00000000" w:rsidP="00000000" w:rsidRDefault="00000000" w:rsidRPr="00000000" w14:paraId="00000020">
      <w:pPr>
        <w:pStyle w:val="Heading5"/>
        <w:rPr/>
      </w:pPr>
      <w:bookmarkStart w:colFirst="0" w:colLast="0" w:name="_qk2ft9or49zi" w:id="5"/>
      <w:bookmarkEnd w:id="5"/>
      <w:r w:rsidDel="00000000" w:rsidR="00000000" w:rsidRPr="00000000">
        <w:rPr>
          <w:rtl w:val="0"/>
        </w:rPr>
        <w:t xml:space="preserve">5. Data Hierarchy and Cognitive Discipline</w:t>
      </w:r>
    </w:p>
    <w:p w:rsidR="00000000" w:rsidDel="00000000" w:rsidP="00000000" w:rsidRDefault="00000000" w:rsidRPr="00000000" w14:paraId="00000021">
      <w:pPr>
        <w:rPr>
          <w:b w:val="1"/>
          <w:bCs w:val="1"/>
        </w:rPr>
      </w:pPr>
      <w:r w:rsidDel="00000000" w:rsidR="00000000" w:rsidRPr="00000000">
        <w:rPr>
          <w:rtl w:val="0"/>
        </w:rPr>
        <w:t xml:space="preserve">Strategic decisions reduce—but never eliminate—uncertainty. Success depends on climbing the hierarchy of data while avoiding the psychological traps that lead to "exception-based" thinking.</w:t>
      </w:r>
      <w:r w:rsidDel="00000000" w:rsidR="00000000" w:rsidRPr="00000000">
        <w:rPr>
          <w:b w:val="1"/>
          <w:bCs w:val="1"/>
          <w:rtl w:val="0"/>
        </w:rPr>
        <w:t xml:space="preserve">The Data Hierarchy:</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bCs w:val="1"/>
          <w:rtl w:val="0"/>
        </w:rPr>
        <w:t xml:space="preserve">Descriptive:</w:t>
      </w:r>
      <w:r w:rsidDel="00000000" w:rsidR="00000000" w:rsidRPr="00000000">
        <w:rPr>
          <w:rtl w:val="0"/>
        </w:rPr>
        <w:t xml:space="preserve">  What happened? (Historical reporting)</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Diagnostic:</w:t>
      </w:r>
      <w:r w:rsidDel="00000000" w:rsidR="00000000" w:rsidRPr="00000000">
        <w:rPr>
          <w:rtl w:val="0"/>
        </w:rPr>
        <w:t xml:space="preserve">  Why did it happen? (Root cause analysis)</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Predictive:</w:t>
      </w:r>
      <w:r w:rsidDel="00000000" w:rsidR="00000000" w:rsidRPr="00000000">
        <w:rPr>
          <w:rtl w:val="0"/>
        </w:rPr>
        <w:t xml:space="preserve">  What will happen? (Modeling and forecasting)</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Prescriptive:</w:t>
      </w:r>
      <w:r w:rsidDel="00000000" w:rsidR="00000000" w:rsidRPr="00000000">
        <w:rPr>
          <w:rtl w:val="0"/>
        </w:rPr>
        <w:t xml:space="preserve">  What should we do? (Decision-making)</w:t>
      </w:r>
      <w:r w:rsidDel="00000000" w:rsidR="00000000" w:rsidRPr="00000000">
        <w:rPr>
          <w:b w:val="1"/>
          <w:bCs w:val="1"/>
          <w:rtl w:val="0"/>
        </w:rPr>
        <w:t xml:space="preserve">Watchlist of Cognitive Traps:</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Confirmation Bias:</w:t>
      </w:r>
      <w:r w:rsidDel="00000000" w:rsidR="00000000" w:rsidRPr="00000000">
        <w:rPr>
          <w:rtl w:val="0"/>
        </w:rPr>
        <w:t xml:space="preserve">  Prioritizing data that supports your current strategy.</w:t>
      </w:r>
    </w:p>
    <w:p w:rsidR="00000000" w:rsidDel="00000000" w:rsidP="00000000" w:rsidRDefault="00000000" w:rsidRPr="00000000" w14:paraId="00000027">
      <w:pPr>
        <w:numPr>
          <w:ilvl w:val="0"/>
          <w:numId w:val="4"/>
        </w:numPr>
        <w:ind w:left="720" w:hanging="360"/>
        <w:rPr>
          <w:u w:val="none"/>
        </w:rPr>
      </w:pPr>
      <w:r w:rsidDel="00000000" w:rsidR="00000000" w:rsidRPr="00000000">
        <w:rPr>
          <w:b w:val="1"/>
          <w:bCs w:val="1"/>
          <w:rtl w:val="0"/>
        </w:rPr>
        <w:t xml:space="preserve">Anchoring:</w:t>
      </w:r>
      <w:r w:rsidDel="00000000" w:rsidR="00000000" w:rsidRPr="00000000">
        <w:rPr>
          <w:rtl w:val="0"/>
        </w:rPr>
        <w:t xml:space="preserve">  Being overly influenced by the first piece of information received.</w:t>
      </w:r>
    </w:p>
    <w:p w:rsidR="00000000" w:rsidDel="00000000" w:rsidP="00000000" w:rsidRDefault="00000000" w:rsidRPr="00000000" w14:paraId="00000028">
      <w:pPr>
        <w:numPr>
          <w:ilvl w:val="0"/>
          <w:numId w:val="4"/>
        </w:numPr>
        <w:ind w:left="720" w:hanging="360"/>
        <w:rPr>
          <w:u w:val="none"/>
        </w:rPr>
      </w:pPr>
      <w:r w:rsidDel="00000000" w:rsidR="00000000" w:rsidRPr="00000000">
        <w:rPr>
          <w:b w:val="1"/>
          <w:bCs w:val="1"/>
          <w:rtl w:val="0"/>
        </w:rPr>
        <w:t xml:space="preserve">Sunk Cost:</w:t>
      </w:r>
      <w:r w:rsidDel="00000000" w:rsidR="00000000" w:rsidRPr="00000000">
        <w:rPr>
          <w:rtl w:val="0"/>
        </w:rPr>
        <w:t xml:space="preserve">  Throwing good money after bad due to past investments.</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Availability Heuristic:</w:t>
      </w:r>
      <w:r w:rsidDel="00000000" w:rsidR="00000000" w:rsidRPr="00000000">
        <w:rPr>
          <w:rtl w:val="0"/>
        </w:rPr>
        <w:t xml:space="preserve">  Over-relying on information that is easiest to recall.</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Narrative Fallacy:</w:t>
      </w:r>
      <w:r w:rsidDel="00000000" w:rsidR="00000000" w:rsidRPr="00000000">
        <w:rPr>
          <w:rtl w:val="0"/>
        </w:rPr>
        <w:t xml:space="preserve">  Forcing a sequence of facts into a compelling but flawed story.</w:t>
      </w:r>
      <w:r w:rsidDel="00000000" w:rsidR="00000000" w:rsidRPr="00000000">
        <w:rPr>
          <w:b w:val="1"/>
          <w:bCs w:val="1"/>
          <w:rtl w:val="0"/>
        </w:rPr>
        <w:t xml:space="preserve">Critical Guardrail: The Base-Rate Check.</w:t>
      </w:r>
      <w:r w:rsidDel="00000000" w:rsidR="00000000" w:rsidRPr="00000000">
        <w:rPr>
          <w:rtl w:val="0"/>
        </w:rPr>
        <w:t xml:space="preserve">  Before committing to a forecast, ask: "What is the historical base rate for outcomes like this?" If your strategy assumes you will be the "exception" to the statistical average, you are likely falling into the exception fallacy. Assume outcomes will regress to the mean unless you have definitive evidence otherwise.</w:t>
      </w:r>
    </w:p>
    <w:p w:rsidR="00000000" w:rsidDel="00000000" w:rsidP="00000000" w:rsidRDefault="00000000" w:rsidRPr="00000000" w14:paraId="0000002B">
      <w:pPr>
        <w:pStyle w:val="Heading5"/>
        <w:rPr/>
      </w:pPr>
      <w:bookmarkStart w:colFirst="0" w:colLast="0" w:name="_7xrt00tn4b7t" w:id="6"/>
      <w:bookmarkEnd w:id="6"/>
      <w:r w:rsidDel="00000000" w:rsidR="00000000" w:rsidRPr="00000000">
        <w:rPr>
          <w:rtl w:val="0"/>
        </w:rPr>
        <w:t xml:space="preserve">6. Strategic Positioning: The One-Word Narrative</w:t>
      </w:r>
    </w:p>
    <w:p w:rsidR="00000000" w:rsidDel="00000000" w:rsidP="00000000" w:rsidRDefault="00000000" w:rsidRPr="00000000" w14:paraId="0000002C">
      <w:pPr>
        <w:rPr/>
      </w:pPr>
      <w:r w:rsidDel="00000000" w:rsidR="00000000" w:rsidRPr="00000000">
        <w:rPr>
          <w:rtl w:val="0"/>
        </w:rPr>
        <w:t xml:space="preserve">A brand is the story customers tell themselves when they choose you over an alternative. If your positioning is not distinct and concise, it is diluted.</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Positioning Template:</w:t>
      </w:r>
      <w:r w:rsidDel="00000000" w:rsidR="00000000" w:rsidRPr="00000000">
        <w:rPr>
          <w:rtl w:val="0"/>
        </w:rPr>
        <w:t xml:space="preserve">  "For  </w:t>
      </w:r>
      <w:r w:rsidDel="00000000" w:rsidR="00000000" w:rsidRPr="00000000">
        <w:rPr>
          <w:b w:val="1"/>
          <w:bCs w:val="1"/>
          <w:rtl w:val="0"/>
        </w:rPr>
        <w:t xml:space="preserve">target</w:t>
      </w:r>
      <w:r w:rsidDel="00000000" w:rsidR="00000000" w:rsidRPr="00000000">
        <w:rPr>
          <w:rtl w:val="0"/>
        </w:rPr>
        <w:t xml:space="preserve">  who  </w:t>
      </w:r>
      <w:r w:rsidDel="00000000" w:rsidR="00000000" w:rsidRPr="00000000">
        <w:rPr>
          <w:b w:val="1"/>
          <w:bCs w:val="1"/>
          <w:rtl w:val="0"/>
        </w:rPr>
        <w:t xml:space="preserve">need</w:t>
      </w:r>
      <w:r w:rsidDel="00000000" w:rsidR="00000000" w:rsidRPr="00000000">
        <w:rPr>
          <w:rtl w:val="0"/>
        </w:rPr>
        <w:t xml:space="preserve"> ,  </w:t>
      </w:r>
      <w:r w:rsidDel="00000000" w:rsidR="00000000" w:rsidRPr="00000000">
        <w:rPr>
          <w:b w:val="1"/>
          <w:bCs w:val="1"/>
          <w:rtl w:val="0"/>
        </w:rPr>
        <w:t xml:space="preserve">brand</w:t>
      </w:r>
      <w:r w:rsidDel="00000000" w:rsidR="00000000" w:rsidRPr="00000000">
        <w:rPr>
          <w:rtl w:val="0"/>
        </w:rPr>
        <w:t xml:space="preserve">  is the  </w:t>
      </w:r>
      <w:r w:rsidDel="00000000" w:rsidR="00000000" w:rsidRPr="00000000">
        <w:rPr>
          <w:b w:val="1"/>
          <w:bCs w:val="1"/>
          <w:rtl w:val="0"/>
        </w:rPr>
        <w:t xml:space="preserve">category</w:t>
      </w:r>
      <w:r w:rsidDel="00000000" w:rsidR="00000000" w:rsidRPr="00000000">
        <w:rPr>
          <w:rtl w:val="0"/>
        </w:rPr>
        <w:t xml:space="preserve">  that  </w:t>
      </w:r>
      <w:r w:rsidDel="00000000" w:rsidR="00000000" w:rsidRPr="00000000">
        <w:rPr>
          <w:b w:val="1"/>
          <w:bCs w:val="1"/>
          <w:rtl w:val="0"/>
        </w:rPr>
        <w:t xml:space="preserve">delivers unique value</w:t>
      </w:r>
      <w:r w:rsidDel="00000000" w:rsidR="00000000" w:rsidRPr="00000000">
        <w:rPr>
          <w:rtl w:val="0"/>
        </w:rPr>
        <w:t xml:space="preserve"> ."</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The "One-Word" Ownership:</w:t>
      </w:r>
      <w:r w:rsidDel="00000000" w:rsidR="00000000" w:rsidRPr="00000000">
        <w:rPr>
          <w:rtl w:val="0"/>
        </w:rPr>
        <w:t xml:space="preserve">  The most successful brands own a single word in the customer's mind:</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Volvo:</w:t>
      </w:r>
      <w:r w:rsidDel="00000000" w:rsidR="00000000" w:rsidRPr="00000000">
        <w:rPr>
          <w:rtl w:val="0"/>
        </w:rPr>
        <w:t xml:space="preserve">  Safety</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Tesla:</w:t>
      </w:r>
      <w:r w:rsidDel="00000000" w:rsidR="00000000" w:rsidRPr="00000000">
        <w:rPr>
          <w:rtl w:val="0"/>
        </w:rPr>
        <w:t xml:space="preserve">  Future</w:t>
      </w:r>
    </w:p>
    <w:p w:rsidR="00000000" w:rsidDel="00000000" w:rsidP="00000000" w:rsidRDefault="00000000" w:rsidRPr="00000000" w14:paraId="00000031">
      <w:pPr>
        <w:numPr>
          <w:ilvl w:val="0"/>
          <w:numId w:val="2"/>
        </w:numPr>
        <w:ind w:left="720" w:hanging="360"/>
        <w:rPr>
          <w:u w:val="none"/>
        </w:rPr>
      </w:pPr>
      <w:r w:rsidDel="00000000" w:rsidR="00000000" w:rsidRPr="00000000">
        <w:rPr>
          <w:b w:val="1"/>
          <w:bCs w:val="1"/>
          <w:rtl w:val="0"/>
        </w:rPr>
        <w:t xml:space="preserve">Patagonia:</w:t>
      </w:r>
      <w:r w:rsidDel="00000000" w:rsidR="00000000" w:rsidRPr="00000000">
        <w:rPr>
          <w:rtl w:val="0"/>
        </w:rPr>
        <w:t xml:space="preserve">  Planet</w:t>
      </w:r>
    </w:p>
    <w:p w:rsidR="00000000" w:rsidDel="00000000" w:rsidP="00000000" w:rsidRDefault="00000000" w:rsidRPr="00000000" w14:paraId="00000032">
      <w:pPr>
        <w:numPr>
          <w:ilvl w:val="0"/>
          <w:numId w:val="2"/>
        </w:numPr>
        <w:ind w:left="720" w:hanging="360"/>
        <w:rPr>
          <w:u w:val="none"/>
        </w:rPr>
      </w:pPr>
      <w:r w:rsidDel="00000000" w:rsidR="00000000" w:rsidRPr="00000000">
        <w:rPr>
          <w:b w:val="1"/>
          <w:bCs w:val="1"/>
          <w:rtl w:val="0"/>
        </w:rPr>
        <w:t xml:space="preserve">The 12-Word Rule:</w:t>
      </w:r>
      <w:r w:rsidDel="00000000" w:rsidR="00000000" w:rsidRPr="00000000">
        <w:rPr>
          <w:rtl w:val="0"/>
        </w:rPr>
        <w:t xml:space="preserve">  As a diagnostic tool, ensure your positioning template can be completed in  </w:t>
      </w:r>
      <w:r w:rsidDel="00000000" w:rsidR="00000000" w:rsidRPr="00000000">
        <w:rPr>
          <w:b w:val="1"/>
          <w:bCs w:val="1"/>
          <w:rtl w:val="0"/>
        </w:rPr>
        <w:t xml:space="preserve">12 words or fewer</w:t>
      </w:r>
      <w:r w:rsidDel="00000000" w:rsidR="00000000" w:rsidRPr="00000000">
        <w:rPr>
          <w:rtl w:val="0"/>
        </w:rPr>
        <w:t xml:space="preserve"> . If you exceed this limit, your competitive advantage is likely too complex to be effective. Once drafted,  </w:t>
      </w:r>
      <w:r w:rsidDel="00000000" w:rsidR="00000000" w:rsidRPr="00000000">
        <w:rPr>
          <w:b w:val="1"/>
          <w:bCs w:val="1"/>
          <w:rtl w:val="0"/>
        </w:rPr>
        <w:t xml:space="preserve">test your positioning on 5 customers</w:t>
      </w:r>
      <w:r w:rsidDel="00000000" w:rsidR="00000000" w:rsidRPr="00000000">
        <w:rPr>
          <w:rtl w:val="0"/>
        </w:rPr>
        <w:t xml:space="preserve">  to ensure the value proposition is clear.</w:t>
      </w:r>
    </w:p>
    <w:p w:rsidR="00000000" w:rsidDel="00000000" w:rsidP="00000000" w:rsidRDefault="00000000" w:rsidRPr="00000000" w14:paraId="00000033">
      <w:pPr>
        <w:pStyle w:val="Heading5"/>
        <w:rPr/>
      </w:pPr>
      <w:bookmarkStart w:colFirst="0" w:colLast="0" w:name="_e1qmbgu41e07" w:id="7"/>
      <w:bookmarkEnd w:id="7"/>
      <w:r w:rsidDel="00000000" w:rsidR="00000000" w:rsidRPr="00000000">
        <w:rPr>
          <w:rtl w:val="0"/>
        </w:rPr>
        <w:t xml:space="preserve">7. The Human Factor: Adult Learning and Generational Dynamics</w:t>
      </w:r>
    </w:p>
    <w:p w:rsidR="00000000" w:rsidDel="00000000" w:rsidP="00000000" w:rsidRDefault="00000000" w:rsidRPr="00000000" w14:paraId="00000034">
      <w:pPr>
        <w:rPr/>
      </w:pPr>
      <w:r w:rsidDel="00000000" w:rsidR="00000000" w:rsidRPr="00000000">
        <w:rPr>
          <w:rtl w:val="0"/>
        </w:rPr>
        <w:t xml:space="preserve">Strategy is only as effective as the people who execute it. Leading a strategic team requires a shift from teaching subject content to facilitating problem-solving.</w:t>
      </w:r>
    </w:p>
    <w:p w:rsidR="00000000" w:rsidDel="00000000" w:rsidP="00000000" w:rsidRDefault="00000000" w:rsidRPr="00000000" w14:paraId="00000035">
      <w:pPr>
        <w:numPr>
          <w:ilvl w:val="0"/>
          <w:numId w:val="5"/>
        </w:numPr>
        <w:ind w:left="720" w:hanging="360"/>
        <w:rPr>
          <w:b w:val="1"/>
          <w:bCs w:val="1"/>
          <w:u w:val="none"/>
        </w:rPr>
      </w:pPr>
      <w:r w:rsidDel="00000000" w:rsidR="00000000" w:rsidRPr="00000000">
        <w:rPr>
          <w:b w:val="1"/>
          <w:bCs w:val="1"/>
          <w:rtl w:val="0"/>
        </w:rPr>
        <w:t xml:space="preserve">Educational Frameworks:</w:t>
      </w:r>
    </w:p>
    <w:p w:rsidR="00000000" w:rsidDel="00000000" w:rsidP="00000000" w:rsidRDefault="00000000" w:rsidRPr="00000000" w14:paraId="00000036">
      <w:pPr>
        <w:numPr>
          <w:ilvl w:val="0"/>
          <w:numId w:val="5"/>
        </w:numPr>
        <w:ind w:left="720" w:hanging="360"/>
        <w:rPr>
          <w:u w:val="none"/>
        </w:rPr>
      </w:pPr>
      <w:r w:rsidDel="00000000" w:rsidR="00000000" w:rsidRPr="00000000">
        <w:rPr>
          <w:b w:val="1"/>
          <w:bCs w:val="1"/>
          <w:rtl w:val="0"/>
        </w:rPr>
        <w:t xml:space="preserve">Pedagogy:</w:t>
      </w:r>
      <w:r w:rsidDel="00000000" w:rsidR="00000000" w:rsidRPr="00000000">
        <w:rPr>
          <w:rtl w:val="0"/>
        </w:rPr>
        <w:t xml:space="preserve">  Strategies used primarily for child education.</w:t>
      </w:r>
    </w:p>
    <w:p w:rsidR="00000000" w:rsidDel="00000000" w:rsidP="00000000" w:rsidRDefault="00000000" w:rsidRPr="00000000" w14:paraId="00000037">
      <w:pPr>
        <w:numPr>
          <w:ilvl w:val="0"/>
          <w:numId w:val="5"/>
        </w:numPr>
        <w:ind w:left="720" w:hanging="360"/>
        <w:rPr>
          <w:u w:val="none"/>
        </w:rPr>
      </w:pPr>
      <w:r w:rsidDel="00000000" w:rsidR="00000000" w:rsidRPr="00000000">
        <w:rPr>
          <w:b w:val="1"/>
          <w:bCs w:val="1"/>
          <w:rtl w:val="0"/>
        </w:rPr>
        <w:t xml:space="preserve">Andragogy:</w:t>
      </w:r>
      <w:r w:rsidDel="00000000" w:rsidR="00000000" w:rsidRPr="00000000">
        <w:rPr>
          <w:rtl w:val="0"/>
        </w:rPr>
        <w:t xml:space="preserve">  The practice of teaching adult learners specifically.</w:t>
      </w:r>
    </w:p>
    <w:p w:rsidR="00000000" w:rsidDel="00000000" w:rsidP="00000000" w:rsidRDefault="00000000" w:rsidRPr="00000000" w14:paraId="00000038">
      <w:pPr>
        <w:numPr>
          <w:ilvl w:val="0"/>
          <w:numId w:val="5"/>
        </w:numPr>
        <w:ind w:left="720" w:hanging="360"/>
        <w:rPr>
          <w:b w:val="1"/>
          <w:bCs w:val="1"/>
        </w:rPr>
      </w:pPr>
      <w:r w:rsidDel="00000000" w:rsidR="00000000" w:rsidRPr="00000000">
        <w:rPr>
          <w:b w:val="1"/>
          <w:bCs w:val="1"/>
          <w:rtl w:val="0"/>
        </w:rPr>
        <w:t xml:space="preserve">Assumptions about Adult Learners:</w:t>
      </w:r>
    </w:p>
    <w:p w:rsidR="00000000" w:rsidDel="00000000" w:rsidP="00000000" w:rsidRDefault="00000000" w:rsidRPr="00000000" w14:paraId="00000039">
      <w:pPr>
        <w:numPr>
          <w:ilvl w:val="0"/>
          <w:numId w:val="5"/>
        </w:numPr>
        <w:ind w:left="720" w:hanging="360"/>
        <w:rPr>
          <w:u w:val="none"/>
        </w:rPr>
      </w:pPr>
      <w:r w:rsidDel="00000000" w:rsidR="00000000" w:rsidRPr="00000000">
        <w:rPr>
          <w:b w:val="1"/>
          <w:bCs w:val="1"/>
          <w:rtl w:val="0"/>
        </w:rPr>
        <w:t xml:space="preserve">Experience:</w:t>
      </w:r>
      <w:r w:rsidDel="00000000" w:rsidR="00000000" w:rsidRPr="00000000">
        <w:rPr>
          <w:rtl w:val="0"/>
        </w:rPr>
        <w:t xml:space="preserve">  Adults use past experiences as a rich resource for new learning.</w:t>
      </w:r>
    </w:p>
    <w:p w:rsidR="00000000" w:rsidDel="00000000" w:rsidP="00000000" w:rsidRDefault="00000000" w:rsidRPr="00000000" w14:paraId="0000003A">
      <w:pPr>
        <w:numPr>
          <w:ilvl w:val="0"/>
          <w:numId w:val="5"/>
        </w:numPr>
        <w:ind w:left="720" w:hanging="360"/>
        <w:rPr>
          <w:u w:val="none"/>
        </w:rPr>
      </w:pPr>
      <w:r w:rsidDel="00000000" w:rsidR="00000000" w:rsidRPr="00000000">
        <w:rPr>
          <w:b w:val="1"/>
          <w:bCs w:val="1"/>
          <w:rtl w:val="0"/>
        </w:rPr>
        <w:t xml:space="preserve">Self-direction:</w:t>
      </w:r>
      <w:r w:rsidDel="00000000" w:rsidR="00000000" w:rsidRPr="00000000">
        <w:rPr>
          <w:rtl w:val="0"/>
        </w:rPr>
        <w:t xml:space="preserve">  Adults are independent and prefer to lead their own learning process.</w:t>
      </w:r>
    </w:p>
    <w:p w:rsidR="00000000" w:rsidDel="00000000" w:rsidP="00000000" w:rsidRDefault="00000000" w:rsidRPr="00000000" w14:paraId="0000003B">
      <w:pPr>
        <w:numPr>
          <w:ilvl w:val="0"/>
          <w:numId w:val="5"/>
        </w:numPr>
        <w:ind w:left="720" w:hanging="360"/>
        <w:rPr>
          <w:u w:val="none"/>
        </w:rPr>
      </w:pPr>
      <w:r w:rsidDel="00000000" w:rsidR="00000000" w:rsidRPr="00000000">
        <w:rPr>
          <w:b w:val="1"/>
          <w:bCs w:val="1"/>
          <w:rtl w:val="0"/>
        </w:rPr>
        <w:t xml:space="preserve">Problem-centeredness:</w:t>
      </w:r>
      <w:r w:rsidDel="00000000" w:rsidR="00000000" w:rsidRPr="00000000">
        <w:rPr>
          <w:rtl w:val="0"/>
        </w:rPr>
        <w:t xml:space="preserve">  Learning must focus on solving immediate, real-world problems.</w:t>
      </w:r>
    </w:p>
    <w:p w:rsidR="00000000" w:rsidDel="00000000" w:rsidP="00000000" w:rsidRDefault="00000000" w:rsidRPr="00000000" w14:paraId="0000003C">
      <w:pPr>
        <w:numPr>
          <w:ilvl w:val="0"/>
          <w:numId w:val="5"/>
        </w:numPr>
        <w:ind w:left="720" w:hanging="360"/>
        <w:rPr>
          <w:u w:val="none"/>
        </w:rPr>
      </w:pPr>
      <w:r w:rsidDel="00000000" w:rsidR="00000000" w:rsidRPr="00000000">
        <w:rPr>
          <w:b w:val="1"/>
          <w:bCs w:val="1"/>
          <w:rtl w:val="0"/>
        </w:rPr>
        <w:t xml:space="preserve">Internal motivation:</w:t>
      </w:r>
      <w:r w:rsidDel="00000000" w:rsidR="00000000" w:rsidRPr="00000000">
        <w:rPr>
          <w:rtl w:val="0"/>
        </w:rPr>
        <w:t xml:space="preserve">  Adults are driven by internal goals rather than external pressures.</w:t>
      </w:r>
    </w:p>
    <w:p w:rsidR="00000000" w:rsidDel="00000000" w:rsidP="00000000" w:rsidRDefault="00000000" w:rsidRPr="00000000" w14:paraId="0000003D">
      <w:pPr>
        <w:numPr>
          <w:ilvl w:val="0"/>
          <w:numId w:val="5"/>
        </w:numPr>
        <w:ind w:left="720" w:hanging="360"/>
        <w:rPr>
          <w:u w:val="none"/>
        </w:rPr>
      </w:pPr>
      <w:r w:rsidDel="00000000" w:rsidR="00000000" w:rsidRPr="00000000">
        <w:rPr>
          <w:b w:val="1"/>
          <w:bCs w:val="1"/>
          <w:rtl w:val="0"/>
        </w:rPr>
        <w:t xml:space="preserve">Generational Cohorts Summary:</w:t>
      </w:r>
      <w:r w:rsidDel="00000000" w:rsidR="00000000" w:rsidRPr="00000000">
        <w:rPr>
          <w:rtl w:val="0"/>
        </w:rPr>
        <w:t xml:space="preserve">| Cohort | Timeline | Core Values || ------ | ------ | ------ || </w:t>
      </w:r>
      <w:r w:rsidDel="00000000" w:rsidR="00000000" w:rsidRPr="00000000">
        <w:rPr>
          <w:b w:val="1"/>
          <w:bCs w:val="1"/>
          <w:rtl w:val="0"/>
        </w:rPr>
        <w:t xml:space="preserve">Silent Generation</w:t>
      </w:r>
      <w:r w:rsidDel="00000000" w:rsidR="00000000" w:rsidRPr="00000000">
        <w:rPr>
          <w:rtl w:val="0"/>
        </w:rPr>
        <w:t xml:space="preserve"> | 1924 – 1944 | Rules, Duty, Patience, Dedication, Hard Work. || </w:t>
      </w:r>
      <w:r w:rsidDel="00000000" w:rsidR="00000000" w:rsidRPr="00000000">
        <w:rPr>
          <w:b w:val="1"/>
          <w:bCs w:val="1"/>
          <w:rtl w:val="0"/>
        </w:rPr>
        <w:t xml:space="preserve">Baby Boomers</w:t>
      </w:r>
      <w:r w:rsidDel="00000000" w:rsidR="00000000" w:rsidRPr="00000000">
        <w:rPr>
          <w:rtl w:val="0"/>
        </w:rPr>
        <w:t xml:space="preserve"> | 1945 – 1964 | Youth, Team orientation, Optimism, Personal growth. || </w:t>
      </w:r>
      <w:r w:rsidDel="00000000" w:rsidR="00000000" w:rsidRPr="00000000">
        <w:rPr>
          <w:b w:val="1"/>
          <w:bCs w:val="1"/>
          <w:rtl w:val="0"/>
        </w:rPr>
        <w:t xml:space="preserve">Gen Xers</w:t>
      </w:r>
      <w:r w:rsidDel="00000000" w:rsidR="00000000" w:rsidRPr="00000000">
        <w:rPr>
          <w:rtl w:val="0"/>
        </w:rPr>
        <w:t xml:space="preserve"> | 1964 – 1980 | Independent, Skeptical, Work-life balance. || </w:t>
      </w:r>
      <w:r w:rsidDel="00000000" w:rsidR="00000000" w:rsidRPr="00000000">
        <w:rPr>
          <w:b w:val="1"/>
          <w:bCs w:val="1"/>
          <w:rtl w:val="0"/>
        </w:rPr>
        <w:t xml:space="preserve">Millennials</w:t>
      </w:r>
      <w:r w:rsidDel="00000000" w:rsidR="00000000" w:rsidRPr="00000000">
        <w:rPr>
          <w:rtl w:val="0"/>
        </w:rPr>
        <w:t xml:space="preserve"> | 1981 – 2000 | Achievement, Confidence, Diversity, Sociability. || </w:t>
      </w:r>
      <w:r w:rsidDel="00000000" w:rsidR="00000000" w:rsidRPr="00000000">
        <w:rPr>
          <w:b w:val="1"/>
          <w:bCs w:val="1"/>
          <w:rtl w:val="0"/>
        </w:rPr>
        <w:t xml:space="preserve">Gen Z</w:t>
      </w:r>
      <w:r w:rsidDel="00000000" w:rsidR="00000000" w:rsidRPr="00000000">
        <w:rPr>
          <w:rtl w:val="0"/>
        </w:rPr>
        <w:t xml:space="preserve"> | 2001 – Present | Equity, Social change, Mental health advocacy, Inclusion. |</w:t>
      </w:r>
    </w:p>
    <w:p w:rsidR="00000000" w:rsidDel="00000000" w:rsidP="00000000" w:rsidRDefault="00000000" w:rsidRPr="00000000" w14:paraId="0000003E">
      <w:pPr>
        <w:numPr>
          <w:ilvl w:val="0"/>
          <w:numId w:val="5"/>
        </w:numPr>
        <w:ind w:left="720" w:hanging="360"/>
        <w:rPr>
          <w:b w:val="1"/>
          <w:bCs w:val="1"/>
        </w:rPr>
      </w:pPr>
      <w:r w:rsidDel="00000000" w:rsidR="00000000" w:rsidRPr="00000000">
        <w:rPr>
          <w:b w:val="1"/>
          <w:bCs w:val="1"/>
          <w:rtl w:val="0"/>
        </w:rPr>
        <w:t xml:space="preserve">Learning Styles &amp; Best Practices:</w:t>
      </w:r>
    </w:p>
    <w:p w:rsidR="00000000" w:rsidDel="00000000" w:rsidP="00000000" w:rsidRDefault="00000000" w:rsidRPr="00000000" w14:paraId="0000003F">
      <w:pPr>
        <w:numPr>
          <w:ilvl w:val="0"/>
          <w:numId w:val="5"/>
        </w:numPr>
        <w:ind w:left="720" w:hanging="360"/>
        <w:rPr>
          <w:u w:val="none"/>
        </w:rPr>
      </w:pPr>
      <w:r w:rsidDel="00000000" w:rsidR="00000000" w:rsidRPr="00000000">
        <w:rPr>
          <w:b w:val="1"/>
          <w:bCs w:val="1"/>
          <w:rtl w:val="0"/>
        </w:rPr>
        <w:t xml:space="preserve">Visual (See it):</w:t>
      </w:r>
      <w:r w:rsidDel="00000000" w:rsidR="00000000" w:rsidRPr="00000000">
        <w:rPr>
          <w:rtl w:val="0"/>
        </w:rPr>
        <w:t xml:space="preserve">  Prefers graphs and outlines.</w:t>
      </w:r>
    </w:p>
    <w:p w:rsidR="00000000" w:rsidDel="00000000" w:rsidP="00000000" w:rsidRDefault="00000000" w:rsidRPr="00000000" w14:paraId="00000040">
      <w:pPr>
        <w:numPr>
          <w:ilvl w:val="0"/>
          <w:numId w:val="5"/>
        </w:numPr>
        <w:ind w:left="720" w:hanging="360"/>
        <w:rPr>
          <w:u w:val="none"/>
        </w:rPr>
      </w:pPr>
      <w:r w:rsidDel="00000000" w:rsidR="00000000" w:rsidRPr="00000000">
        <w:rPr>
          <w:i w:val="1"/>
          <w:iCs w:val="1"/>
          <w:rtl w:val="0"/>
        </w:rPr>
        <w:t xml:space="preserve">Best Practices:</w:t>
      </w:r>
      <w:r w:rsidDel="00000000" w:rsidR="00000000" w:rsidRPr="00000000">
        <w:rPr>
          <w:rtl w:val="0"/>
        </w:rPr>
        <w:t xml:space="preserve">  Use  </w:t>
      </w:r>
      <w:r w:rsidDel="00000000" w:rsidR="00000000" w:rsidRPr="00000000">
        <w:rPr>
          <w:b w:val="1"/>
          <w:bCs w:val="1"/>
          <w:rtl w:val="0"/>
        </w:rPr>
        <w:t xml:space="preserve">Graphs and Charts</w:t>
      </w:r>
      <w:r w:rsidDel="00000000" w:rsidR="00000000" w:rsidRPr="00000000">
        <w:rPr>
          <w:rtl w:val="0"/>
        </w:rPr>
        <w:t xml:space="preserve"> ; provide organized  </w:t>
      </w:r>
      <w:r w:rsidDel="00000000" w:rsidR="00000000" w:rsidRPr="00000000">
        <w:rPr>
          <w:b w:val="1"/>
          <w:bCs w:val="1"/>
          <w:rtl w:val="0"/>
        </w:rPr>
        <w:t xml:space="preserve">Slide Shows</w:t>
      </w:r>
      <w:r w:rsidDel="00000000" w:rsidR="00000000" w:rsidRPr="00000000">
        <w:rPr>
          <w:rtl w:val="0"/>
        </w:rPr>
        <w:t xml:space="preserve"> .</w:t>
      </w:r>
    </w:p>
    <w:p w:rsidR="00000000" w:rsidDel="00000000" w:rsidP="00000000" w:rsidRDefault="00000000" w:rsidRPr="00000000" w14:paraId="00000041">
      <w:pPr>
        <w:numPr>
          <w:ilvl w:val="0"/>
          <w:numId w:val="5"/>
        </w:numPr>
        <w:ind w:left="720" w:hanging="360"/>
        <w:rPr>
          <w:u w:val="none"/>
        </w:rPr>
      </w:pPr>
      <w:r w:rsidDel="00000000" w:rsidR="00000000" w:rsidRPr="00000000">
        <w:rPr>
          <w:b w:val="1"/>
          <w:bCs w:val="1"/>
          <w:rtl w:val="0"/>
        </w:rPr>
        <w:t xml:space="preserve">Auditory (Say it):</w:t>
      </w:r>
      <w:r w:rsidDel="00000000" w:rsidR="00000000" w:rsidRPr="00000000">
        <w:rPr>
          <w:rtl w:val="0"/>
        </w:rPr>
        <w:t xml:space="preserve">  Prefers listening and verbalizing.</w:t>
      </w:r>
    </w:p>
    <w:p w:rsidR="00000000" w:rsidDel="00000000" w:rsidP="00000000" w:rsidRDefault="00000000" w:rsidRPr="00000000" w14:paraId="00000042">
      <w:pPr>
        <w:numPr>
          <w:ilvl w:val="0"/>
          <w:numId w:val="5"/>
        </w:numPr>
        <w:ind w:left="720" w:hanging="360"/>
        <w:rPr>
          <w:u w:val="none"/>
        </w:rPr>
      </w:pPr>
      <w:r w:rsidDel="00000000" w:rsidR="00000000" w:rsidRPr="00000000">
        <w:rPr>
          <w:i w:val="1"/>
          <w:iCs w:val="1"/>
          <w:rtl w:val="0"/>
        </w:rPr>
        <w:t xml:space="preserve">Best Practices:</w:t>
      </w:r>
      <w:r w:rsidDel="00000000" w:rsidR="00000000" w:rsidRPr="00000000">
        <w:rPr>
          <w:rtl w:val="0"/>
        </w:rPr>
        <w:t xml:space="preserve">  Facilitate  </w:t>
      </w:r>
      <w:r w:rsidDel="00000000" w:rsidR="00000000" w:rsidRPr="00000000">
        <w:rPr>
          <w:b w:val="1"/>
          <w:bCs w:val="1"/>
          <w:rtl w:val="0"/>
        </w:rPr>
        <w:t xml:space="preserve">Group Discussions</w:t>
      </w:r>
      <w:r w:rsidDel="00000000" w:rsidR="00000000" w:rsidRPr="00000000">
        <w:rPr>
          <w:rtl w:val="0"/>
        </w:rPr>
        <w:t xml:space="preserve"> ; leverage  </w:t>
      </w:r>
      <w:r w:rsidDel="00000000" w:rsidR="00000000" w:rsidRPr="00000000">
        <w:rPr>
          <w:b w:val="1"/>
          <w:bCs w:val="1"/>
          <w:rtl w:val="0"/>
        </w:rPr>
        <w:t xml:space="preserve">Podcasts</w:t>
      </w:r>
      <w:r w:rsidDel="00000000" w:rsidR="00000000" w:rsidRPr="00000000">
        <w:rPr>
          <w:rtl w:val="0"/>
        </w:rPr>
        <w:t xml:space="preserve">  or audio sources.</w:t>
      </w:r>
    </w:p>
    <w:p w:rsidR="00000000" w:rsidDel="00000000" w:rsidP="00000000" w:rsidRDefault="00000000" w:rsidRPr="00000000" w14:paraId="00000043">
      <w:pPr>
        <w:numPr>
          <w:ilvl w:val="0"/>
          <w:numId w:val="5"/>
        </w:numPr>
        <w:ind w:left="720" w:hanging="360"/>
        <w:rPr>
          <w:u w:val="none"/>
        </w:rPr>
      </w:pPr>
      <w:r w:rsidDel="00000000" w:rsidR="00000000" w:rsidRPr="00000000">
        <w:rPr>
          <w:b w:val="1"/>
          <w:bCs w:val="1"/>
          <w:rtl w:val="0"/>
        </w:rPr>
        <w:t xml:space="preserve">Kinesthetic (Do it):</w:t>
      </w:r>
      <w:r w:rsidDel="00000000" w:rsidR="00000000" w:rsidRPr="00000000">
        <w:rPr>
          <w:rtl w:val="0"/>
        </w:rPr>
        <w:t xml:space="preserve">  Prefers hands-on manipulation.</w:t>
      </w:r>
    </w:p>
    <w:p w:rsidR="00000000" w:rsidDel="00000000" w:rsidP="00000000" w:rsidRDefault="00000000" w:rsidRPr="00000000" w14:paraId="00000044">
      <w:pPr>
        <w:numPr>
          <w:ilvl w:val="0"/>
          <w:numId w:val="5"/>
        </w:numPr>
        <w:ind w:left="720" w:hanging="360"/>
        <w:rPr>
          <w:u w:val="none"/>
        </w:rPr>
      </w:pPr>
      <w:r w:rsidDel="00000000" w:rsidR="00000000" w:rsidRPr="00000000">
        <w:rPr>
          <w:i w:val="1"/>
          <w:iCs w:val="1"/>
          <w:rtl w:val="0"/>
        </w:rPr>
        <w:t xml:space="preserve">Best Practices:</w:t>
      </w:r>
      <w:r w:rsidDel="00000000" w:rsidR="00000000" w:rsidRPr="00000000">
        <w:rPr>
          <w:rtl w:val="0"/>
        </w:rPr>
        <w:t xml:space="preserve">  Conduct  </w:t>
      </w:r>
      <w:r w:rsidDel="00000000" w:rsidR="00000000" w:rsidRPr="00000000">
        <w:rPr>
          <w:b w:val="1"/>
          <w:bCs w:val="1"/>
          <w:rtl w:val="0"/>
        </w:rPr>
        <w:t xml:space="preserve">Simulations</w:t>
      </w:r>
      <w:r w:rsidDel="00000000" w:rsidR="00000000" w:rsidRPr="00000000">
        <w:rPr>
          <w:rtl w:val="0"/>
        </w:rPr>
        <w:t xml:space="preserve"> ; use  </w:t>
      </w:r>
      <w:r w:rsidDel="00000000" w:rsidR="00000000" w:rsidRPr="00000000">
        <w:rPr>
          <w:b w:val="1"/>
          <w:bCs w:val="1"/>
          <w:rtl w:val="0"/>
        </w:rPr>
        <w:t xml:space="preserve">Role Play</w:t>
      </w:r>
      <w:r w:rsidDel="00000000" w:rsidR="00000000" w:rsidRPr="00000000">
        <w:rPr>
          <w:rtl w:val="0"/>
        </w:rPr>
        <w:t xml:space="preserve">  or Case Scenarios.</w:t>
      </w:r>
    </w:p>
    <w:p w:rsidR="00000000" w:rsidDel="00000000" w:rsidP="00000000" w:rsidRDefault="00000000" w:rsidRPr="00000000" w14:paraId="00000045">
      <w:pPr>
        <w:pStyle w:val="Heading5"/>
        <w:rPr/>
      </w:pPr>
      <w:bookmarkStart w:colFirst="0" w:colLast="0" w:name="_31gnyjcmn04b" w:id="8"/>
      <w:bookmarkEnd w:id="8"/>
      <w:r w:rsidDel="00000000" w:rsidR="00000000" w:rsidRPr="00000000">
        <w:rPr>
          <w:rtl w:val="0"/>
        </w:rPr>
        <w:t xml:space="preserve">8. Module 2 Action Checklist</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Classify Decisions:</w:t>
      </w:r>
      <w:r w:rsidDel="00000000" w:rsidR="00000000" w:rsidRPr="00000000">
        <w:rPr>
          <w:rtl w:val="0"/>
        </w:rPr>
        <w:t xml:space="preserve">  Identify your last 5 major decisions and classify them as Type 1 (irreversible) or Type 2 (reversible).</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Establish Forecast:</w:t>
      </w:r>
      <w:r w:rsidDel="00000000" w:rsidR="00000000" w:rsidRPr="00000000">
        <w:rPr>
          <w:rtl w:val="0"/>
        </w:rPr>
        <w:t xml:space="preserve">  Build a 12-month forecast using at least two different methods (e.g., Top-down and Driver-based) and reconcile the differences.</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Identify No-Regret Moves:</w:t>
      </w:r>
      <w:r w:rsidDel="00000000" w:rsidR="00000000" w:rsidRPr="00000000">
        <w:rPr>
          <w:rtl w:val="0"/>
        </w:rPr>
        <w:t xml:space="preserve">  Use the four-corner frame to define three strategic moves that succeed across all likely scenarios.</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Define One Word:</w:t>
      </w:r>
      <w:r w:rsidDel="00000000" w:rsidR="00000000" w:rsidRPr="00000000">
        <w:rPr>
          <w:rtl w:val="0"/>
        </w:rPr>
        <w:t xml:space="preserve">  Identify the single word your brand owns in its category. If it's more than one word, simplify.</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Test Positioning:</w:t>
      </w:r>
      <w:r w:rsidDel="00000000" w:rsidR="00000000" w:rsidRPr="00000000">
        <w:rPr>
          <w:rtl w:val="0"/>
        </w:rPr>
        <w:t xml:space="preserve">  Write your positioning in 12 words or fewer and test it on 5 customers.</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Assign Decider:</w:t>
      </w:r>
      <w:r w:rsidDel="00000000" w:rsidR="00000000" w:rsidRPr="00000000">
        <w:rPr>
          <w:rtl w:val="0"/>
        </w:rPr>
        <w:t xml:space="preserve">  For your next major project, use the RAPID framework to assign exactly one "Decider."</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