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griuhh5i2um9" w:id="0"/>
      <w:bookmarkEnd w:id="0"/>
      <w:r w:rsidDel="00000000" w:rsidR="00000000" w:rsidRPr="00000000">
        <w:rPr>
          <w:rtl w:val="0"/>
        </w:rPr>
        <w:t xml:space="preserve">Module 10: Innovation &amp; Future</w:t>
      </w:r>
    </w:p>
    <w:p w:rsidR="00000000" w:rsidDel="00000000" w:rsidP="00000000" w:rsidRDefault="00000000" w:rsidRPr="00000000" w14:paraId="00000002">
      <w:pPr>
        <w:rPr/>
      </w:pPr>
      <w:r w:rsidDel="00000000" w:rsidR="00000000" w:rsidRPr="00000000">
        <w:rPr>
          <w:rtl w:val="0"/>
        </w:rPr>
        <w:t xml:space="preserve">This study guide synthesizes the frameworks, mathematical foundations, and strategic methodologies required to analyze continuous change, predict future outcomes, and navigate the complexities of innovation. It draws upon historical themes, mathematical analysis, biological systems, and data-driven decision-making processes.</w:t>
      </w:r>
    </w:p>
    <w:p w:rsidR="00000000" w:rsidDel="00000000" w:rsidP="00000000" w:rsidRDefault="00000000" w:rsidRPr="00000000" w14:paraId="00000003">
      <w:pPr>
        <w:pStyle w:val="Heading4"/>
        <w:rPr/>
      </w:pPr>
      <w:bookmarkStart w:colFirst="0" w:colLast="0" w:name="_569i5k5faj1e" w:id="1"/>
      <w:bookmarkEnd w:id="1"/>
      <w:r w:rsidDel="00000000" w:rsidR="00000000" w:rsidRPr="00000000">
        <w:rPr>
          <w:rtl w:val="0"/>
        </w:rPr>
        <w:t xml:space="preserve">I. The Mathematical Foundation of Change: Calculus</w:t>
      </w:r>
    </w:p>
    <w:p w:rsidR="00000000" w:rsidDel="00000000" w:rsidP="00000000" w:rsidRDefault="00000000" w:rsidRPr="00000000" w14:paraId="00000004">
      <w:pPr>
        <w:rPr/>
      </w:pPr>
      <w:r w:rsidDel="00000000" w:rsidR="00000000" w:rsidRPr="00000000">
        <w:rPr>
          <w:rtl w:val="0"/>
        </w:rPr>
        <w:t xml:space="preserve">Calculus serves as the "mathematical backbone" for solving problems where variable quantities change over time or in relation to other reference values. It is the principal precursor to modern mathematical analysis.</w:t>
      </w:r>
    </w:p>
    <w:p w:rsidR="00000000" w:rsidDel="00000000" w:rsidP="00000000" w:rsidRDefault="00000000" w:rsidRPr="00000000" w14:paraId="00000005">
      <w:pPr>
        <w:pStyle w:val="Heading5"/>
        <w:rPr/>
      </w:pPr>
      <w:bookmarkStart w:colFirst="0" w:colLast="0" w:name="_gyn6uwj8ccag" w:id="2"/>
      <w:bookmarkEnd w:id="2"/>
      <w:r w:rsidDel="00000000" w:rsidR="00000000" w:rsidRPr="00000000">
        <w:rPr>
          <w:rtl w:val="0"/>
        </w:rPr>
        <w:t xml:space="preserve">Core Branches</w:t>
      </w:r>
    </w:p>
    <w:p w:rsidR="00000000" w:rsidDel="00000000" w:rsidP="00000000" w:rsidRDefault="00000000" w:rsidRPr="00000000" w14:paraId="00000006">
      <w:pPr>
        <w:numPr>
          <w:ilvl w:val="0"/>
          <w:numId w:val="14"/>
        </w:numPr>
        <w:ind w:left="720" w:hanging="360"/>
        <w:rPr>
          <w:u w:val="none"/>
        </w:rPr>
      </w:pPr>
      <w:r w:rsidDel="00000000" w:rsidR="00000000" w:rsidRPr="00000000">
        <w:rPr>
          <w:b w:val="1"/>
          <w:bCs w:val="1"/>
          <w:rtl w:val="0"/>
        </w:rPr>
        <w:t xml:space="preserve">Differential Calculus:</w:t>
      </w:r>
      <w:r w:rsidDel="00000000" w:rsidR="00000000" w:rsidRPr="00000000">
        <w:rPr>
          <w:rtl w:val="0"/>
        </w:rPr>
        <w:t xml:space="preserve">  The study of instantaneous rates of change and the slopes of curves. It utilizes  </w:t>
      </w:r>
      <w:r w:rsidDel="00000000" w:rsidR="00000000" w:rsidRPr="00000000">
        <w:rPr>
          <w:b w:val="1"/>
          <w:bCs w:val="1"/>
          <w:rtl w:val="0"/>
        </w:rPr>
        <w:t xml:space="preserve">differentiation</w:t>
      </w:r>
      <w:r w:rsidDel="00000000" w:rsidR="00000000" w:rsidRPr="00000000">
        <w:rPr>
          <w:rtl w:val="0"/>
        </w:rPr>
        <w:t xml:space="preserve">  to encode small-scale behavior near specific points.</w:t>
      </w:r>
    </w:p>
    <w:p w:rsidR="00000000" w:rsidDel="00000000" w:rsidP="00000000" w:rsidRDefault="00000000" w:rsidRPr="00000000" w14:paraId="00000007">
      <w:pPr>
        <w:numPr>
          <w:ilvl w:val="0"/>
          <w:numId w:val="14"/>
        </w:numPr>
        <w:ind w:left="720" w:hanging="360"/>
        <w:rPr>
          <w:u w:val="none"/>
        </w:rPr>
      </w:pPr>
      <w:r w:rsidDel="00000000" w:rsidR="00000000" w:rsidRPr="00000000">
        <w:rPr>
          <w:b w:val="1"/>
          <w:bCs w:val="1"/>
          <w:rtl w:val="0"/>
        </w:rPr>
        <w:t xml:space="preserve">Integral Calculus:</w:t>
      </w:r>
      <w:r w:rsidDel="00000000" w:rsidR="00000000" w:rsidRPr="00000000">
        <w:rPr>
          <w:rtl w:val="0"/>
        </w:rPr>
        <w:t xml:space="preserve">  The study of the accumulation of quantities and the areas under or between curves. This involves  </w:t>
      </w:r>
      <w:r w:rsidDel="00000000" w:rsidR="00000000" w:rsidRPr="00000000">
        <w:rPr>
          <w:b w:val="1"/>
          <w:bCs w:val="1"/>
          <w:rtl w:val="0"/>
        </w:rPr>
        <w:t xml:space="preserve">integration</w:t>
      </w:r>
      <w:r w:rsidDel="00000000" w:rsidR="00000000" w:rsidRPr="00000000">
        <w:rPr>
          <w:rtl w:val="0"/>
        </w:rPr>
        <w:t xml:space="preserve"> , which can be thought of as the inverse operation of differentiation.</w:t>
      </w:r>
    </w:p>
    <w:p w:rsidR="00000000" w:rsidDel="00000000" w:rsidP="00000000" w:rsidRDefault="00000000" w:rsidRPr="00000000" w14:paraId="00000008">
      <w:pPr>
        <w:numPr>
          <w:ilvl w:val="0"/>
          <w:numId w:val="14"/>
        </w:numPr>
        <w:ind w:left="720" w:hanging="360"/>
        <w:rPr>
          <w:u w:val="none"/>
        </w:rPr>
      </w:pPr>
      <w:r w:rsidDel="00000000" w:rsidR="00000000" w:rsidRPr="00000000">
        <w:rPr>
          <w:b w:val="1"/>
          <w:bCs w:val="1"/>
          <w:rtl w:val="0"/>
        </w:rPr>
        <w:t xml:space="preserve">The Fundamental Theorem of Calculus:</w:t>
      </w:r>
      <w:r w:rsidDel="00000000" w:rsidR="00000000" w:rsidRPr="00000000">
        <w:rPr>
          <w:rtl w:val="0"/>
        </w:rPr>
        <w:t xml:space="preserve">  This theorem relates the two branches, stating that differentiation and integration are inverse operations. It provides a practical algebraic method for computing definite integrals by finding antiderivatives.</w:t>
      </w:r>
    </w:p>
    <w:p w:rsidR="00000000" w:rsidDel="00000000" w:rsidP="00000000" w:rsidRDefault="00000000" w:rsidRPr="00000000" w14:paraId="00000009">
      <w:pPr>
        <w:pStyle w:val="Heading5"/>
        <w:rPr/>
      </w:pPr>
      <w:bookmarkStart w:colFirst="0" w:colLast="0" w:name="_d2tim8ad2bvr" w:id="3"/>
      <w:bookmarkEnd w:id="3"/>
      <w:r w:rsidDel="00000000" w:rsidR="00000000" w:rsidRPr="00000000">
        <w:rPr>
          <w:rtl w:val="0"/>
        </w:rPr>
        <w:t xml:space="preserve">Primary Concepts and Notation</w:t>
      </w:r>
    </w:p>
    <w:p w:rsidR="00000000" w:rsidDel="00000000" w:rsidP="00000000" w:rsidRDefault="00000000" w:rsidRPr="00000000" w14:paraId="0000000A">
      <w:pPr>
        <w:rPr/>
      </w:pPr>
      <w:r w:rsidDel="00000000" w:rsidR="00000000" w:rsidRPr="00000000">
        <w:rPr>
          <w:rtl w:val="0"/>
        </w:rPr>
        <w:t xml:space="preserve">Concept,Description,Notation/Approach</w:t>
      </w:r>
    </w:p>
    <w:p w:rsidR="00000000" w:rsidDel="00000000" w:rsidP="00000000" w:rsidRDefault="00000000" w:rsidRPr="00000000" w14:paraId="0000000B">
      <w:pPr>
        <w:rPr/>
      </w:pPr>
      <w:r w:rsidDel="00000000" w:rsidR="00000000" w:rsidRPr="00000000">
        <w:rPr>
          <w:rtl w:val="0"/>
        </w:rPr>
        <w:t xml:space="preserve">Limits,Describes the behavior of a function at a certain input based on values at nearby inputs.,Standard approach replacing infinitesimals.</w:t>
      </w:r>
    </w:p>
    <w:p w:rsidR="00000000" w:rsidDel="00000000" w:rsidP="00000000" w:rsidRDefault="00000000" w:rsidRPr="00000000" w14:paraId="0000000C">
      <w:pPr>
        <w:rPr/>
      </w:pPr>
      <w:r w:rsidDel="00000000" w:rsidR="00000000" w:rsidRPr="00000000">
        <w:rPr>
          <w:rtl w:val="0"/>
        </w:rPr>
        <w:t xml:space="preserve">Infinitesimals,"Objects treated like real numbers but which are ""infinitely small.""",Historically the first method; revived in non-standard analysis.</w:t>
      </w:r>
    </w:p>
    <w:p w:rsidR="00000000" w:rsidDel="00000000" w:rsidP="00000000" w:rsidRDefault="00000000" w:rsidRPr="00000000" w14:paraId="0000000D">
      <w:pPr>
        <w:rPr/>
      </w:pPr>
      <w:r w:rsidDel="00000000" w:rsidR="00000000" w:rsidRPr="00000000">
        <w:rPr>
          <w:rtl w:val="0"/>
        </w:rPr>
        <w:t xml:space="preserve">Derivative,Generalizes the idea of the slope of a line; quantifies the steepness of a graph.,$f'(x)$  (Lagrange) or  $dy/dx$  (Leibniz).</w:t>
      </w:r>
    </w:p>
    <w:p w:rsidR="00000000" w:rsidDel="00000000" w:rsidP="00000000" w:rsidRDefault="00000000" w:rsidRPr="00000000" w14:paraId="0000000E">
      <w:pPr>
        <w:rPr/>
      </w:pPr>
      <w:r w:rsidDel="00000000" w:rsidR="00000000" w:rsidRPr="00000000">
        <w:rPr>
          <w:rtl w:val="0"/>
        </w:rPr>
        <w:t xml:space="preserve">Integral,Represents the area under a curve; suggests the summation of infinite rectangles.,"$\int_{a}^{b} f(x) \, dx$"</w:t>
      </w:r>
    </w:p>
    <w:p w:rsidR="00000000" w:rsidDel="00000000" w:rsidP="00000000" w:rsidRDefault="00000000" w:rsidRPr="00000000" w14:paraId="0000000F">
      <w:pPr>
        <w:pStyle w:val="Heading5"/>
        <w:rPr/>
      </w:pPr>
      <w:bookmarkStart w:colFirst="0" w:colLast="0" w:name="_o3yy3960a8c2" w:id="4"/>
      <w:bookmarkEnd w:id="4"/>
      <w:r w:rsidDel="00000000" w:rsidR="00000000" w:rsidRPr="00000000">
        <w:rPr>
          <w:rtl w:val="0"/>
        </w:rPr>
        <w:t xml:space="preserve">Historical Evolution</w:t>
      </w:r>
    </w:p>
    <w:p w:rsidR="00000000" w:rsidDel="00000000" w:rsidP="00000000" w:rsidRDefault="00000000" w:rsidRPr="00000000" w14:paraId="00000010">
      <w:pPr>
        <w:numPr>
          <w:ilvl w:val="0"/>
          <w:numId w:val="7"/>
        </w:numPr>
        <w:ind w:left="720" w:hanging="360"/>
        <w:rPr>
          <w:u w:val="none"/>
        </w:rPr>
      </w:pPr>
      <w:r w:rsidDel="00000000" w:rsidR="00000000" w:rsidRPr="00000000">
        <w:rPr>
          <w:b w:val="1"/>
          <w:bCs w:val="1"/>
          <w:rtl w:val="0"/>
        </w:rPr>
        <w:t xml:space="preserve">Ancient Precursors:</w:t>
      </w:r>
      <w:r w:rsidDel="00000000" w:rsidR="00000000" w:rsidRPr="00000000">
        <w:rPr>
          <w:rtl w:val="0"/>
        </w:rPr>
        <w:t xml:space="preserve">  Egyptian volume calculations (Moscow papyrus), Babylonian trapezoidal rules, and the Greek "method of exhaustion" developed by Eudoxus and Archimedes.</w:t>
      </w:r>
    </w:p>
    <w:p w:rsidR="00000000" w:rsidDel="00000000" w:rsidP="00000000" w:rsidRDefault="00000000" w:rsidRPr="00000000" w14:paraId="00000011">
      <w:pPr>
        <w:numPr>
          <w:ilvl w:val="0"/>
          <w:numId w:val="7"/>
        </w:numPr>
        <w:ind w:left="720" w:hanging="360"/>
        <w:rPr>
          <w:u w:val="none"/>
        </w:rPr>
      </w:pPr>
      <w:r w:rsidDel="00000000" w:rsidR="00000000" w:rsidRPr="00000000">
        <w:rPr>
          <w:b w:val="1"/>
          <w:bCs w:val="1"/>
          <w:rtl w:val="0"/>
        </w:rPr>
        <w:t xml:space="preserve">Medieval Developments:</w:t>
      </w:r>
      <w:r w:rsidDel="00000000" w:rsidR="00000000" w:rsidRPr="00000000">
        <w:rPr>
          <w:rtl w:val="0"/>
        </w:rPr>
        <w:t xml:space="preserve">  Ibn al-Haytham (paraboloid volumes), Bhāskara II (differential coefficients), and the Kerala School of Astronomy and Mathematics.</w:t>
      </w:r>
    </w:p>
    <w:p w:rsidR="00000000" w:rsidDel="00000000" w:rsidP="00000000" w:rsidRDefault="00000000" w:rsidRPr="00000000" w14:paraId="00000012">
      <w:pPr>
        <w:numPr>
          <w:ilvl w:val="0"/>
          <w:numId w:val="7"/>
        </w:numPr>
        <w:ind w:left="720" w:hanging="360"/>
        <w:rPr>
          <w:u w:val="none"/>
        </w:rPr>
      </w:pPr>
      <w:r w:rsidDel="00000000" w:rsidR="00000000" w:rsidRPr="00000000">
        <w:rPr>
          <w:b w:val="1"/>
          <w:bCs w:val="1"/>
          <w:rtl w:val="0"/>
        </w:rPr>
        <w:t xml:space="preserve">Modern Formulation:</w:t>
      </w:r>
      <w:r w:rsidDel="00000000" w:rsidR="00000000" w:rsidRPr="00000000">
        <w:rPr>
          <w:rtl w:val="0"/>
        </w:rPr>
        <w:t xml:space="preserve">  Independently developed in the late 17th century by  </w:t>
      </w:r>
      <w:r w:rsidDel="00000000" w:rsidR="00000000" w:rsidRPr="00000000">
        <w:rPr>
          <w:b w:val="1"/>
          <w:bCs w:val="1"/>
          <w:rtl w:val="0"/>
        </w:rPr>
        <w:t xml:space="preserve">Isaac Newton</w:t>
      </w:r>
      <w:r w:rsidDel="00000000" w:rsidR="00000000" w:rsidRPr="00000000">
        <w:rPr>
          <w:rtl w:val="0"/>
        </w:rPr>
        <w:t xml:space="preserve">  (applied to physics/planetary motion) and  </w:t>
      </w:r>
      <w:r w:rsidDel="00000000" w:rsidR="00000000" w:rsidRPr="00000000">
        <w:rPr>
          <w:b w:val="1"/>
          <w:bCs w:val="1"/>
          <w:rtl w:val="0"/>
        </w:rPr>
        <w:t xml:space="preserve">Gottfried Wilhelm Leibniz</w:t>
      </w:r>
      <w:r w:rsidDel="00000000" w:rsidR="00000000" w:rsidRPr="00000000">
        <w:rPr>
          <w:rtl w:val="0"/>
        </w:rPr>
        <w:t xml:space="preserve">  (developed modern notation and clear rules).</w:t>
      </w:r>
    </w:p>
    <w:p w:rsidR="00000000" w:rsidDel="00000000" w:rsidP="00000000" w:rsidRDefault="00000000" w:rsidRPr="00000000" w14:paraId="00000013">
      <w:pPr>
        <w:pStyle w:val="Heading4"/>
        <w:rPr/>
      </w:pPr>
      <w:bookmarkStart w:colFirst="0" w:colLast="0" w:name="_kckp4of8vqc2" w:id="5"/>
      <w:bookmarkEnd w:id="5"/>
      <w:r w:rsidDel="00000000" w:rsidR="00000000" w:rsidRPr="00000000">
        <w:rPr>
          <w:rtl w:val="0"/>
        </w:rPr>
        <w:t xml:space="preserve">II. Forecasting and Scenario Planning</w:t>
      </w:r>
    </w:p>
    <w:p w:rsidR="00000000" w:rsidDel="00000000" w:rsidP="00000000" w:rsidRDefault="00000000" w:rsidRPr="00000000" w14:paraId="00000014">
      <w:pPr>
        <w:rPr/>
      </w:pPr>
      <w:r w:rsidDel="00000000" w:rsidR="00000000" w:rsidRPr="00000000">
        <w:rPr>
          <w:rtl w:val="0"/>
        </w:rPr>
        <w:t xml:space="preserve">Innovation requires structured thinking about the future. Effective foresight distinguishes between narrowing uncertainty (forecasting) and preparing for it (scenarios).</w:t>
      </w:r>
    </w:p>
    <w:p w:rsidR="00000000" w:rsidDel="00000000" w:rsidP="00000000" w:rsidRDefault="00000000" w:rsidRPr="00000000" w14:paraId="00000015">
      <w:pPr>
        <w:pStyle w:val="Heading5"/>
        <w:rPr/>
      </w:pPr>
      <w:bookmarkStart w:colFirst="0" w:colLast="0" w:name="_h4gwp71dxujo" w:id="6"/>
      <w:bookmarkEnd w:id="6"/>
      <w:r w:rsidDel="00000000" w:rsidR="00000000" w:rsidRPr="00000000">
        <w:rPr>
          <w:rtl w:val="0"/>
        </w:rPr>
        <w:t xml:space="preserve">Definitions</w:t>
      </w:r>
    </w:p>
    <w:p w:rsidR="00000000" w:rsidDel="00000000" w:rsidP="00000000" w:rsidRDefault="00000000" w:rsidRPr="00000000" w14:paraId="00000016">
      <w:pPr>
        <w:numPr>
          <w:ilvl w:val="0"/>
          <w:numId w:val="9"/>
        </w:numPr>
        <w:ind w:left="720" w:hanging="360"/>
        <w:rPr>
          <w:u w:val="none"/>
        </w:rPr>
      </w:pPr>
      <w:r w:rsidDel="00000000" w:rsidR="00000000" w:rsidRPr="00000000">
        <w:rPr>
          <w:b w:val="1"/>
          <w:bCs w:val="1"/>
          <w:rtl w:val="0"/>
        </w:rPr>
        <w:t xml:space="preserve">Forecast:</w:t>
      </w:r>
      <w:r w:rsidDel="00000000" w:rsidR="00000000" w:rsidRPr="00000000">
        <w:rPr>
          <w:rtl w:val="0"/>
        </w:rPr>
        <w:t xml:space="preserve">  A structured opinion about the future expressed as a probability distribution.</w:t>
      </w:r>
    </w:p>
    <w:p w:rsidR="00000000" w:rsidDel="00000000" w:rsidP="00000000" w:rsidRDefault="00000000" w:rsidRPr="00000000" w14:paraId="00000017">
      <w:pPr>
        <w:numPr>
          <w:ilvl w:val="0"/>
          <w:numId w:val="9"/>
        </w:numPr>
        <w:ind w:left="720" w:hanging="360"/>
        <w:rPr>
          <w:u w:val="none"/>
        </w:rPr>
      </w:pPr>
      <w:r w:rsidDel="00000000" w:rsidR="00000000" w:rsidRPr="00000000">
        <w:rPr>
          <w:b w:val="1"/>
          <w:bCs w:val="1"/>
          <w:rtl w:val="0"/>
        </w:rPr>
        <w:t xml:space="preserve">Scenario:</w:t>
      </w:r>
      <w:r w:rsidDel="00000000" w:rsidR="00000000" w:rsidRPr="00000000">
        <w:rPr>
          <w:rtl w:val="0"/>
        </w:rPr>
        <w:t xml:space="preserve">  A coherent story about a possible future.</w:t>
      </w:r>
    </w:p>
    <w:p w:rsidR="00000000" w:rsidDel="00000000" w:rsidP="00000000" w:rsidRDefault="00000000" w:rsidRPr="00000000" w14:paraId="00000018">
      <w:pPr>
        <w:pStyle w:val="Heading5"/>
        <w:rPr/>
      </w:pPr>
      <w:bookmarkStart w:colFirst="0" w:colLast="0" w:name="_8ylys1p44sz6" w:id="7"/>
      <w:bookmarkEnd w:id="7"/>
      <w:r w:rsidDel="00000000" w:rsidR="00000000" w:rsidRPr="00000000">
        <w:rPr>
          <w:rtl w:val="0"/>
        </w:rPr>
        <w:t xml:space="preserve">Forecasting Methods</w:t>
      </w:r>
    </w:p>
    <w:p w:rsidR="00000000" w:rsidDel="00000000" w:rsidP="00000000" w:rsidRDefault="00000000" w:rsidRPr="00000000" w14:paraId="00000019">
      <w:pPr>
        <w:numPr>
          <w:ilvl w:val="0"/>
          <w:numId w:val="10"/>
        </w:numPr>
        <w:ind w:left="720" w:hanging="360"/>
        <w:rPr>
          <w:u w:val="none"/>
        </w:rPr>
      </w:pPr>
      <w:r w:rsidDel="00000000" w:rsidR="00000000" w:rsidRPr="00000000">
        <w:rPr>
          <w:b w:val="1"/>
          <w:bCs w:val="1"/>
          <w:rtl w:val="0"/>
        </w:rPr>
        <w:t xml:space="preserve">Top-down:</w:t>
      </w:r>
      <w:r w:rsidDel="00000000" w:rsidR="00000000" w:rsidRPr="00000000">
        <w:rPr>
          <w:rtl w:val="0"/>
        </w:rPr>
        <w:t xml:space="preserve">  Market size multiplied by projected share.</w:t>
      </w:r>
    </w:p>
    <w:p w:rsidR="00000000" w:rsidDel="00000000" w:rsidP="00000000" w:rsidRDefault="00000000" w:rsidRPr="00000000" w14:paraId="0000001A">
      <w:pPr>
        <w:numPr>
          <w:ilvl w:val="0"/>
          <w:numId w:val="10"/>
        </w:numPr>
        <w:ind w:left="720" w:hanging="360"/>
        <w:rPr>
          <w:u w:val="none"/>
        </w:rPr>
      </w:pPr>
      <w:r w:rsidDel="00000000" w:rsidR="00000000" w:rsidRPr="00000000">
        <w:rPr>
          <w:b w:val="1"/>
          <w:bCs w:val="1"/>
          <w:rtl w:val="0"/>
        </w:rPr>
        <w:t xml:space="preserve">Bottom-up:</w:t>
      </w:r>
      <w:r w:rsidDel="00000000" w:rsidR="00000000" w:rsidRPr="00000000">
        <w:rPr>
          <w:rtl w:val="0"/>
        </w:rPr>
        <w:t xml:space="preserve">  Aggregating specific units (e.g., representative quotas or customer ARPU).</w:t>
      </w:r>
    </w:p>
    <w:p w:rsidR="00000000" w:rsidDel="00000000" w:rsidP="00000000" w:rsidRDefault="00000000" w:rsidRPr="00000000" w14:paraId="0000001B">
      <w:pPr>
        <w:numPr>
          <w:ilvl w:val="0"/>
          <w:numId w:val="10"/>
        </w:numPr>
        <w:ind w:left="720" w:hanging="360"/>
        <w:rPr>
          <w:u w:val="none"/>
        </w:rPr>
      </w:pPr>
      <w:r w:rsidDel="00000000" w:rsidR="00000000" w:rsidRPr="00000000">
        <w:rPr>
          <w:b w:val="1"/>
          <w:bCs w:val="1"/>
          <w:rtl w:val="0"/>
        </w:rPr>
        <w:t xml:space="preserve">Time series:</w:t>
      </w:r>
      <w:r w:rsidDel="00000000" w:rsidR="00000000" w:rsidRPr="00000000">
        <w:rPr>
          <w:rtl w:val="0"/>
        </w:rPr>
        <w:t xml:space="preserve">  Extrapolating historical data.</w:t>
      </w:r>
    </w:p>
    <w:p w:rsidR="00000000" w:rsidDel="00000000" w:rsidP="00000000" w:rsidRDefault="00000000" w:rsidRPr="00000000" w14:paraId="0000001C">
      <w:pPr>
        <w:numPr>
          <w:ilvl w:val="0"/>
          <w:numId w:val="10"/>
        </w:numPr>
        <w:ind w:left="720" w:hanging="360"/>
        <w:rPr>
          <w:u w:val="none"/>
        </w:rPr>
      </w:pPr>
      <w:r w:rsidDel="00000000" w:rsidR="00000000" w:rsidRPr="00000000">
        <w:rPr>
          <w:b w:val="1"/>
          <w:bCs w:val="1"/>
          <w:rtl w:val="0"/>
        </w:rPr>
        <w:t xml:space="preserve">Driver-based:</w:t>
      </w:r>
      <w:r w:rsidDel="00000000" w:rsidR="00000000" w:rsidRPr="00000000">
        <w:rPr>
          <w:rtl w:val="0"/>
        </w:rPr>
        <w:t xml:space="preserve">  Calculating revenue based on variables like traffic, conversion, and Average Order Value (AOV).</w:t>
      </w:r>
    </w:p>
    <w:p w:rsidR="00000000" w:rsidDel="00000000" w:rsidP="00000000" w:rsidRDefault="00000000" w:rsidRPr="00000000" w14:paraId="0000001D">
      <w:pPr>
        <w:pStyle w:val="Heading5"/>
        <w:rPr/>
      </w:pPr>
      <w:bookmarkStart w:colFirst="0" w:colLast="0" w:name="_yve3vwtxejyt" w:id="8"/>
      <w:bookmarkEnd w:id="8"/>
      <w:r w:rsidDel="00000000" w:rsidR="00000000" w:rsidRPr="00000000">
        <w:rPr>
          <w:rtl w:val="0"/>
        </w:rPr>
        <w:t xml:space="preserve">Quality Metrics for Forecasts</w:t>
      </w:r>
    </w:p>
    <w:p w:rsidR="00000000" w:rsidDel="00000000" w:rsidP="00000000" w:rsidRDefault="00000000" w:rsidRPr="00000000" w14:paraId="0000001E">
      <w:pPr>
        <w:numPr>
          <w:ilvl w:val="0"/>
          <w:numId w:val="2"/>
        </w:numPr>
        <w:ind w:left="720" w:hanging="360"/>
        <w:rPr>
          <w:u w:val="none"/>
        </w:rPr>
      </w:pPr>
      <w:r w:rsidDel="00000000" w:rsidR="00000000" w:rsidRPr="00000000">
        <w:rPr>
          <w:b w:val="1"/>
          <w:bCs w:val="1"/>
          <w:rtl w:val="0"/>
        </w:rPr>
        <w:t xml:space="preserve">Calibration:</w:t>
      </w:r>
      <w:r w:rsidDel="00000000" w:rsidR="00000000" w:rsidRPr="00000000">
        <w:rPr>
          <w:rtl w:val="0"/>
        </w:rPr>
        <w:t xml:space="preserve">  Ensuring that 90% confidence intervals contain the truth 90% of the time.</w:t>
      </w:r>
    </w:p>
    <w:p w:rsidR="00000000" w:rsidDel="00000000" w:rsidP="00000000" w:rsidRDefault="00000000" w:rsidRPr="00000000" w14:paraId="0000001F">
      <w:pPr>
        <w:numPr>
          <w:ilvl w:val="0"/>
          <w:numId w:val="2"/>
        </w:numPr>
        <w:ind w:left="720" w:hanging="360"/>
        <w:rPr>
          <w:u w:val="none"/>
        </w:rPr>
      </w:pPr>
      <w:r w:rsidDel="00000000" w:rsidR="00000000" w:rsidRPr="00000000">
        <w:rPr>
          <w:b w:val="1"/>
          <w:bCs w:val="1"/>
          <w:rtl w:val="0"/>
        </w:rPr>
        <w:t xml:space="preserve">Resolution:</w:t>
      </w:r>
      <w:r w:rsidDel="00000000" w:rsidR="00000000" w:rsidRPr="00000000">
        <w:rPr>
          <w:rtl w:val="0"/>
        </w:rPr>
        <w:t xml:space="preserve">  Ensuring forecasts are "sharp" and specific rather than vague.</w:t>
      </w:r>
    </w:p>
    <w:p w:rsidR="00000000" w:rsidDel="00000000" w:rsidP="00000000" w:rsidRDefault="00000000" w:rsidRPr="00000000" w14:paraId="00000020">
      <w:pPr>
        <w:numPr>
          <w:ilvl w:val="0"/>
          <w:numId w:val="2"/>
        </w:numPr>
        <w:ind w:left="720" w:hanging="360"/>
        <w:rPr>
          <w:u w:val="none"/>
        </w:rPr>
      </w:pPr>
      <w:r w:rsidDel="00000000" w:rsidR="00000000" w:rsidRPr="00000000">
        <w:rPr>
          <w:b w:val="1"/>
          <w:bCs w:val="1"/>
          <w:rtl w:val="0"/>
        </w:rPr>
        <w:t xml:space="preserve">Bias:</w:t>
      </w:r>
      <w:r w:rsidDel="00000000" w:rsidR="00000000" w:rsidRPr="00000000">
        <w:rPr>
          <w:rtl w:val="0"/>
        </w:rPr>
        <w:t xml:space="preserve">  Identifying and correcting systematic over-shooting or under-shooting.</w:t>
      </w:r>
    </w:p>
    <w:p w:rsidR="00000000" w:rsidDel="00000000" w:rsidP="00000000" w:rsidRDefault="00000000" w:rsidRPr="00000000" w14:paraId="00000021">
      <w:pPr>
        <w:pStyle w:val="Heading5"/>
        <w:rPr/>
      </w:pPr>
      <w:bookmarkStart w:colFirst="0" w:colLast="0" w:name="_wcezihyncu6f" w:id="9"/>
      <w:bookmarkEnd w:id="9"/>
      <w:r w:rsidDel="00000000" w:rsidR="00000000" w:rsidRPr="00000000">
        <w:rPr>
          <w:rtl w:val="0"/>
        </w:rPr>
        <w:t xml:space="preserve">The Four-Corner Frame for Scenarios</w:t>
      </w:r>
    </w:p>
    <w:p w:rsidR="00000000" w:rsidDel="00000000" w:rsidP="00000000" w:rsidRDefault="00000000" w:rsidRPr="00000000" w14:paraId="00000022">
      <w:pPr>
        <w:rPr/>
      </w:pPr>
      <w:r w:rsidDel="00000000" w:rsidR="00000000" w:rsidRPr="00000000">
        <w:rPr>
          <w:rtl w:val="0"/>
        </w:rPr>
        <w:t xml:space="preserve">To prepare for future uncertainty, identify two  </w:t>
      </w:r>
      <w:r w:rsidDel="00000000" w:rsidR="00000000" w:rsidRPr="00000000">
        <w:rPr>
          <w:b w:val="1"/>
          <w:bCs w:val="1"/>
          <w:rtl w:val="0"/>
        </w:rPr>
        <w:t xml:space="preserve">critical uncertainties</w:t>
      </w:r>
      <w:r w:rsidDel="00000000" w:rsidR="00000000" w:rsidRPr="00000000">
        <w:rPr>
          <w:rtl w:val="0"/>
        </w:rPr>
        <w:t xml:space="preserve">  (e.g., regulation or customer demand). Build four distinct "worlds" at the corners of these variables to stress-test strategies and identify  </w:t>
      </w:r>
      <w:r w:rsidDel="00000000" w:rsidR="00000000" w:rsidRPr="00000000">
        <w:rPr>
          <w:b w:val="1"/>
          <w:bCs w:val="1"/>
          <w:rtl w:val="0"/>
        </w:rPr>
        <w:t xml:space="preserve">no-regret moves</w:t>
      </w:r>
      <w:r w:rsidDel="00000000" w:rsidR="00000000" w:rsidRPr="00000000">
        <w:rPr>
          <w:rtl w:val="0"/>
        </w:rPr>
        <w:t xml:space="preserve"> —actions that provide value regardless of which scenario manifests.</w:t>
      </w:r>
    </w:p>
    <w:p w:rsidR="00000000" w:rsidDel="00000000" w:rsidP="00000000" w:rsidRDefault="00000000" w:rsidRPr="00000000" w14:paraId="00000023">
      <w:pPr>
        <w:pStyle w:val="Heading4"/>
        <w:rPr/>
      </w:pPr>
      <w:bookmarkStart w:colFirst="0" w:colLast="0" w:name="_cmw8qg73cni6" w:id="10"/>
      <w:bookmarkEnd w:id="10"/>
      <w:r w:rsidDel="00000000" w:rsidR="00000000" w:rsidRPr="00000000">
        <w:rPr>
          <w:rtl w:val="0"/>
        </w:rPr>
        <w:t xml:space="preserve">III. Decision Architecture for Uncertain Futures</w:t>
      </w:r>
    </w:p>
    <w:p w:rsidR="00000000" w:rsidDel="00000000" w:rsidP="00000000" w:rsidRDefault="00000000" w:rsidRPr="00000000" w14:paraId="00000024">
      <w:pPr>
        <w:rPr/>
      </w:pPr>
      <w:r w:rsidDel="00000000" w:rsidR="00000000" w:rsidRPr="00000000">
        <w:rPr>
          <w:rtl w:val="0"/>
        </w:rPr>
        <w:t xml:space="preserve">Navigating the future requires matching the rigor of analysis to the nature of the decision being made.</w:t>
      </w:r>
    </w:p>
    <w:p w:rsidR="00000000" w:rsidDel="00000000" w:rsidP="00000000" w:rsidRDefault="00000000" w:rsidRPr="00000000" w14:paraId="00000025">
      <w:pPr>
        <w:pStyle w:val="Heading5"/>
        <w:rPr/>
      </w:pPr>
      <w:bookmarkStart w:colFirst="0" w:colLast="0" w:name="_5e36p7fx3e8g" w:id="11"/>
      <w:bookmarkEnd w:id="11"/>
      <w:r w:rsidDel="00000000" w:rsidR="00000000" w:rsidRPr="00000000">
        <w:rPr>
          <w:rtl w:val="0"/>
        </w:rPr>
        <w:t xml:space="preserve">Decision Types (The Bezos Framework)</w:t>
      </w:r>
    </w:p>
    <w:p w:rsidR="00000000" w:rsidDel="00000000" w:rsidP="00000000" w:rsidRDefault="00000000" w:rsidRPr="00000000" w14:paraId="00000026">
      <w:pPr>
        <w:numPr>
          <w:ilvl w:val="0"/>
          <w:numId w:val="5"/>
        </w:numPr>
        <w:ind w:left="720" w:hanging="360"/>
        <w:rPr>
          <w:u w:val="none"/>
        </w:rPr>
      </w:pPr>
      <w:r w:rsidDel="00000000" w:rsidR="00000000" w:rsidRPr="00000000">
        <w:rPr>
          <w:b w:val="1"/>
          <w:bCs w:val="1"/>
          <w:rtl w:val="0"/>
        </w:rPr>
        <w:t xml:space="preserve">Type 1 (One-way doors):</w:t>
      </w:r>
      <w:r w:rsidDel="00000000" w:rsidR="00000000" w:rsidRPr="00000000">
        <w:rPr>
          <w:rtl w:val="0"/>
        </w:rPr>
        <w:t xml:space="preserve">  Irreversible, high-stakes decisions that require deliberate, evidence-heavy processes.</w:t>
      </w:r>
    </w:p>
    <w:p w:rsidR="00000000" w:rsidDel="00000000" w:rsidP="00000000" w:rsidRDefault="00000000" w:rsidRPr="00000000" w14:paraId="00000027">
      <w:pPr>
        <w:numPr>
          <w:ilvl w:val="0"/>
          <w:numId w:val="5"/>
        </w:numPr>
        <w:ind w:left="720" w:hanging="360"/>
        <w:rPr>
          <w:u w:val="none"/>
        </w:rPr>
      </w:pPr>
      <w:r w:rsidDel="00000000" w:rsidR="00000000" w:rsidRPr="00000000">
        <w:rPr>
          <w:b w:val="1"/>
          <w:bCs w:val="1"/>
          <w:rtl w:val="0"/>
        </w:rPr>
        <w:t xml:space="preserve">Type 2 (Two-way doors):</w:t>
      </w:r>
      <w:r w:rsidDel="00000000" w:rsidR="00000000" w:rsidRPr="00000000">
        <w:rPr>
          <w:rtl w:val="0"/>
        </w:rPr>
        <w:t xml:space="preserve">  Reversible, low-stakes decisions that should be made quickly using judgment.</w:t>
      </w:r>
    </w:p>
    <w:p w:rsidR="00000000" w:rsidDel="00000000" w:rsidP="00000000" w:rsidRDefault="00000000" w:rsidRPr="00000000" w14:paraId="00000028">
      <w:pPr>
        <w:pStyle w:val="Heading5"/>
        <w:rPr/>
      </w:pPr>
      <w:bookmarkStart w:colFirst="0" w:colLast="0" w:name="_2p140tqlg6nf" w:id="12"/>
      <w:bookmarkEnd w:id="12"/>
      <w:r w:rsidDel="00000000" w:rsidR="00000000" w:rsidRPr="00000000">
        <w:rPr>
          <w:rtl w:val="0"/>
        </w:rPr>
        <w:t xml:space="preserve">The Decision Quality Six</w:t>
      </w:r>
    </w:p>
    <w:p w:rsidR="00000000" w:rsidDel="00000000" w:rsidP="00000000" w:rsidRDefault="00000000" w:rsidRPr="00000000" w14:paraId="00000029">
      <w:pPr>
        <w:numPr>
          <w:ilvl w:val="0"/>
          <w:numId w:val="1"/>
        </w:numPr>
        <w:ind w:left="720" w:hanging="360"/>
        <w:rPr>
          <w:u w:val="none"/>
        </w:rPr>
      </w:pPr>
      <w:r w:rsidDel="00000000" w:rsidR="00000000" w:rsidRPr="00000000">
        <w:rPr>
          <w:b w:val="1"/>
          <w:bCs w:val="1"/>
          <w:rtl w:val="0"/>
        </w:rPr>
        <w:t xml:space="preserve">Frame:</w:t>
      </w:r>
      <w:r w:rsidDel="00000000" w:rsidR="00000000" w:rsidRPr="00000000">
        <w:rPr>
          <w:rtl w:val="0"/>
        </w:rPr>
        <w:t xml:space="preserve">  Asking the right question within the right scope.</w:t>
      </w:r>
    </w:p>
    <w:p w:rsidR="00000000" w:rsidDel="00000000" w:rsidP="00000000" w:rsidRDefault="00000000" w:rsidRPr="00000000" w14:paraId="0000002A">
      <w:pPr>
        <w:numPr>
          <w:ilvl w:val="0"/>
          <w:numId w:val="1"/>
        </w:numPr>
        <w:ind w:left="720" w:hanging="360"/>
        <w:rPr>
          <w:u w:val="none"/>
        </w:rPr>
      </w:pPr>
      <w:r w:rsidDel="00000000" w:rsidR="00000000" w:rsidRPr="00000000">
        <w:rPr>
          <w:b w:val="1"/>
          <w:bCs w:val="1"/>
          <w:rtl w:val="0"/>
        </w:rPr>
        <w:t xml:space="preserve">Alternatives:</w:t>
      </w:r>
      <w:r w:rsidDel="00000000" w:rsidR="00000000" w:rsidRPr="00000000">
        <w:rPr>
          <w:rtl w:val="0"/>
        </w:rPr>
        <w:t xml:space="preserve">  Considering at least three options, including "do nothing."</w:t>
      </w:r>
    </w:p>
    <w:p w:rsidR="00000000" w:rsidDel="00000000" w:rsidP="00000000" w:rsidRDefault="00000000" w:rsidRPr="00000000" w14:paraId="0000002B">
      <w:pPr>
        <w:numPr>
          <w:ilvl w:val="0"/>
          <w:numId w:val="1"/>
        </w:numPr>
        <w:ind w:left="720" w:hanging="360"/>
        <w:rPr>
          <w:u w:val="none"/>
        </w:rPr>
      </w:pPr>
      <w:r w:rsidDel="00000000" w:rsidR="00000000" w:rsidRPr="00000000">
        <w:rPr>
          <w:b w:val="1"/>
          <w:bCs w:val="1"/>
          <w:rtl w:val="0"/>
        </w:rPr>
        <w:t xml:space="preserve">Information:</w:t>
      </w:r>
      <w:r w:rsidDel="00000000" w:rsidR="00000000" w:rsidRPr="00000000">
        <w:rPr>
          <w:rtl w:val="0"/>
        </w:rPr>
        <w:t xml:space="preserve">  Using relevant data while acknowledging honest uncertainty.</w:t>
      </w:r>
    </w:p>
    <w:p w:rsidR="00000000" w:rsidDel="00000000" w:rsidP="00000000" w:rsidRDefault="00000000" w:rsidRPr="00000000" w14:paraId="0000002C">
      <w:pPr>
        <w:numPr>
          <w:ilvl w:val="0"/>
          <w:numId w:val="1"/>
        </w:numPr>
        <w:ind w:left="720" w:hanging="360"/>
        <w:rPr>
          <w:u w:val="none"/>
        </w:rPr>
      </w:pPr>
      <w:r w:rsidDel="00000000" w:rsidR="00000000" w:rsidRPr="00000000">
        <w:rPr>
          <w:b w:val="1"/>
          <w:bCs w:val="1"/>
          <w:rtl w:val="0"/>
        </w:rPr>
        <w:t xml:space="preserve">Values:</w:t>
      </w:r>
      <w:r w:rsidDel="00000000" w:rsidR="00000000" w:rsidRPr="00000000">
        <w:rPr>
          <w:rtl w:val="0"/>
        </w:rPr>
        <w:t xml:space="preserve">  Making explicit trade-offs.</w:t>
      </w:r>
    </w:p>
    <w:p w:rsidR="00000000" w:rsidDel="00000000" w:rsidP="00000000" w:rsidRDefault="00000000" w:rsidRPr="00000000" w14:paraId="0000002D">
      <w:pPr>
        <w:numPr>
          <w:ilvl w:val="0"/>
          <w:numId w:val="1"/>
        </w:numPr>
        <w:ind w:left="720" w:hanging="360"/>
        <w:rPr>
          <w:u w:val="none"/>
        </w:rPr>
      </w:pPr>
      <w:r w:rsidDel="00000000" w:rsidR="00000000" w:rsidRPr="00000000">
        <w:rPr>
          <w:b w:val="1"/>
          <w:bCs w:val="1"/>
          <w:rtl w:val="0"/>
        </w:rPr>
        <w:t xml:space="preserve">Logic:</w:t>
      </w:r>
      <w:r w:rsidDel="00000000" w:rsidR="00000000" w:rsidRPr="00000000">
        <w:rPr>
          <w:rtl w:val="0"/>
        </w:rPr>
        <w:t xml:space="preserve">  Applying sound reasoning.</w:t>
      </w:r>
    </w:p>
    <w:p w:rsidR="00000000" w:rsidDel="00000000" w:rsidP="00000000" w:rsidRDefault="00000000" w:rsidRPr="00000000" w14:paraId="0000002E">
      <w:pPr>
        <w:numPr>
          <w:ilvl w:val="0"/>
          <w:numId w:val="1"/>
        </w:numPr>
        <w:ind w:left="720" w:hanging="360"/>
        <w:rPr>
          <w:u w:val="none"/>
        </w:rPr>
      </w:pPr>
      <w:r w:rsidDel="00000000" w:rsidR="00000000" w:rsidRPr="00000000">
        <w:rPr>
          <w:b w:val="1"/>
          <w:bCs w:val="1"/>
          <w:rtl w:val="0"/>
        </w:rPr>
        <w:t xml:space="preserve">Commitment:</w:t>
      </w:r>
      <w:r w:rsidDel="00000000" w:rsidR="00000000" w:rsidRPr="00000000">
        <w:rPr>
          <w:rtl w:val="0"/>
        </w:rPr>
        <w:t xml:space="preserve">  Ensuring follow-through.</w:t>
      </w:r>
    </w:p>
    <w:p w:rsidR="00000000" w:rsidDel="00000000" w:rsidP="00000000" w:rsidRDefault="00000000" w:rsidRPr="00000000" w14:paraId="0000002F">
      <w:pPr>
        <w:pStyle w:val="Heading5"/>
        <w:rPr/>
      </w:pPr>
      <w:bookmarkStart w:colFirst="0" w:colLast="0" w:name="_43dzo7pgysu8" w:id="13"/>
      <w:bookmarkEnd w:id="13"/>
      <w:r w:rsidDel="00000000" w:rsidR="00000000" w:rsidRPr="00000000">
        <w:rPr>
          <w:rtl w:val="0"/>
        </w:rPr>
        <w:t xml:space="preserve">RAPID Framework for Accountability</w:t>
      </w:r>
    </w:p>
    <w:p w:rsidR="00000000" w:rsidDel="00000000" w:rsidP="00000000" w:rsidRDefault="00000000" w:rsidRPr="00000000" w14:paraId="00000030">
      <w:pPr>
        <w:numPr>
          <w:ilvl w:val="0"/>
          <w:numId w:val="6"/>
        </w:numPr>
        <w:ind w:left="720" w:hanging="360"/>
        <w:rPr>
          <w:u w:val="none"/>
        </w:rPr>
      </w:pPr>
      <w:r w:rsidDel="00000000" w:rsidR="00000000" w:rsidRPr="00000000">
        <w:rPr>
          <w:b w:val="1"/>
          <w:bCs w:val="1"/>
          <w:rtl w:val="0"/>
        </w:rPr>
        <w:t xml:space="preserve">Recommend:</w:t>
      </w:r>
      <w:r w:rsidDel="00000000" w:rsidR="00000000" w:rsidRPr="00000000">
        <w:rPr>
          <w:rtl w:val="0"/>
        </w:rPr>
        <w:t xml:space="preserve">  Propose a course of action.</w:t>
      </w:r>
    </w:p>
    <w:p w:rsidR="00000000" w:rsidDel="00000000" w:rsidP="00000000" w:rsidRDefault="00000000" w:rsidRPr="00000000" w14:paraId="00000031">
      <w:pPr>
        <w:numPr>
          <w:ilvl w:val="0"/>
          <w:numId w:val="6"/>
        </w:numPr>
        <w:ind w:left="720" w:hanging="360"/>
        <w:rPr>
          <w:u w:val="none"/>
        </w:rPr>
      </w:pPr>
      <w:r w:rsidDel="00000000" w:rsidR="00000000" w:rsidRPr="00000000">
        <w:rPr>
          <w:b w:val="1"/>
          <w:bCs w:val="1"/>
          <w:rtl w:val="0"/>
        </w:rPr>
        <w:t xml:space="preserve">Agree:</w:t>
      </w:r>
      <w:r w:rsidDel="00000000" w:rsidR="00000000" w:rsidRPr="00000000">
        <w:rPr>
          <w:rtl w:val="0"/>
        </w:rPr>
        <w:t xml:space="preserve">  Sign off on the recommendation.</w:t>
      </w:r>
    </w:p>
    <w:p w:rsidR="00000000" w:rsidDel="00000000" w:rsidP="00000000" w:rsidRDefault="00000000" w:rsidRPr="00000000" w14:paraId="00000032">
      <w:pPr>
        <w:numPr>
          <w:ilvl w:val="0"/>
          <w:numId w:val="6"/>
        </w:numPr>
        <w:ind w:left="720" w:hanging="360"/>
        <w:rPr>
          <w:u w:val="none"/>
        </w:rPr>
      </w:pPr>
      <w:r w:rsidDel="00000000" w:rsidR="00000000" w:rsidRPr="00000000">
        <w:rPr>
          <w:b w:val="1"/>
          <w:bCs w:val="1"/>
          <w:rtl w:val="0"/>
        </w:rPr>
        <w:t xml:space="preserve">Perform:</w:t>
      </w:r>
      <w:r w:rsidDel="00000000" w:rsidR="00000000" w:rsidRPr="00000000">
        <w:rPr>
          <w:rtl w:val="0"/>
        </w:rPr>
        <w:t xml:space="preserve">  Execute the decision once made.</w:t>
      </w:r>
    </w:p>
    <w:p w:rsidR="00000000" w:rsidDel="00000000" w:rsidP="00000000" w:rsidRDefault="00000000" w:rsidRPr="00000000" w14:paraId="00000033">
      <w:pPr>
        <w:numPr>
          <w:ilvl w:val="0"/>
          <w:numId w:val="6"/>
        </w:numPr>
        <w:ind w:left="720" w:hanging="360"/>
        <w:rPr>
          <w:u w:val="none"/>
        </w:rPr>
      </w:pPr>
      <w:r w:rsidDel="00000000" w:rsidR="00000000" w:rsidRPr="00000000">
        <w:rPr>
          <w:b w:val="1"/>
          <w:bCs w:val="1"/>
          <w:rtl w:val="0"/>
        </w:rPr>
        <w:t xml:space="preserve">Input:</w:t>
      </w:r>
      <w:r w:rsidDel="00000000" w:rsidR="00000000" w:rsidRPr="00000000">
        <w:rPr>
          <w:rtl w:val="0"/>
        </w:rPr>
        <w:t xml:space="preserve">  Provide data or expertise to the recommender.</w:t>
      </w:r>
    </w:p>
    <w:p w:rsidR="00000000" w:rsidDel="00000000" w:rsidP="00000000" w:rsidRDefault="00000000" w:rsidRPr="00000000" w14:paraId="00000034">
      <w:pPr>
        <w:numPr>
          <w:ilvl w:val="0"/>
          <w:numId w:val="6"/>
        </w:numPr>
        <w:ind w:left="720" w:hanging="360"/>
        <w:rPr>
          <w:u w:val="none"/>
        </w:rPr>
      </w:pPr>
      <w:r w:rsidDel="00000000" w:rsidR="00000000" w:rsidRPr="00000000">
        <w:rPr>
          <w:b w:val="1"/>
          <w:bCs w:val="1"/>
          <w:rtl w:val="0"/>
        </w:rPr>
        <w:t xml:space="preserve">Decide:</w:t>
      </w:r>
      <w:r w:rsidDel="00000000" w:rsidR="00000000" w:rsidRPr="00000000">
        <w:rPr>
          <w:rtl w:val="0"/>
        </w:rPr>
        <w:t xml:space="preserve">  The single individual with the authority to make the final call.</w:t>
      </w:r>
    </w:p>
    <w:p w:rsidR="00000000" w:rsidDel="00000000" w:rsidP="00000000" w:rsidRDefault="00000000" w:rsidRPr="00000000" w14:paraId="00000035">
      <w:pPr>
        <w:pStyle w:val="Heading4"/>
        <w:rPr/>
      </w:pPr>
      <w:bookmarkStart w:colFirst="0" w:colLast="0" w:name="_8fiabg760rdf" w:id="14"/>
      <w:bookmarkEnd w:id="14"/>
      <w:r w:rsidDel="00000000" w:rsidR="00000000" w:rsidRPr="00000000">
        <w:rPr>
          <w:rtl w:val="0"/>
        </w:rPr>
        <w:t xml:space="preserve">IV. Biological Innovation: Energy Harvesting (Cellular Respiration)</w:t>
      </w:r>
    </w:p>
    <w:p w:rsidR="00000000" w:rsidDel="00000000" w:rsidP="00000000" w:rsidRDefault="00000000" w:rsidRPr="00000000" w14:paraId="00000036">
      <w:pPr>
        <w:rPr/>
      </w:pPr>
      <w:r w:rsidDel="00000000" w:rsidR="00000000" w:rsidRPr="00000000">
        <w:rPr>
          <w:rtl w:val="0"/>
        </w:rPr>
        <w:t xml:space="preserve">Cellular respiration represents nature's refined system for creating  </w:t>
      </w:r>
      <w:r w:rsidDel="00000000" w:rsidR="00000000" w:rsidRPr="00000000">
        <w:rPr>
          <w:b w:val="1"/>
          <w:bCs w:val="1"/>
          <w:rtl w:val="0"/>
        </w:rPr>
        <w:t xml:space="preserve">Adenosine Triphosphate (ATP)</w:t>
      </w:r>
      <w:r w:rsidDel="00000000" w:rsidR="00000000" w:rsidRPr="00000000">
        <w:rPr>
          <w:rtl w:val="0"/>
        </w:rPr>
        <w:t xml:space="preserve"> , the energy-rich molecule driving cellular processes.</w:t>
      </w:r>
    </w:p>
    <w:p w:rsidR="00000000" w:rsidDel="00000000" w:rsidP="00000000" w:rsidRDefault="00000000" w:rsidRPr="00000000" w14:paraId="00000037">
      <w:pPr>
        <w:pStyle w:val="Heading5"/>
        <w:rPr/>
      </w:pPr>
      <w:bookmarkStart w:colFirst="0" w:colLast="0" w:name="_49c26ftfrva3" w:id="15"/>
      <w:bookmarkEnd w:id="15"/>
      <w:r w:rsidDel="00000000" w:rsidR="00000000" w:rsidRPr="00000000">
        <w:rPr>
          <w:rtl w:val="0"/>
        </w:rPr>
        <w:t xml:space="preserve">The Four Steps of Aerobic Respiration</w:t>
      </w:r>
    </w:p>
    <w:p w:rsidR="00000000" w:rsidDel="00000000" w:rsidP="00000000" w:rsidRDefault="00000000" w:rsidRPr="00000000" w14:paraId="00000038">
      <w:pPr>
        <w:numPr>
          <w:ilvl w:val="0"/>
          <w:numId w:val="4"/>
        </w:numPr>
        <w:ind w:left="720" w:hanging="360"/>
        <w:rPr>
          <w:u w:val="none"/>
        </w:rPr>
      </w:pPr>
      <w:r w:rsidDel="00000000" w:rsidR="00000000" w:rsidRPr="00000000">
        <w:rPr>
          <w:b w:val="1"/>
          <w:bCs w:val="1"/>
          <w:rtl w:val="0"/>
        </w:rPr>
        <w:t xml:space="preserve">Glycolysis:</w:t>
      </w:r>
      <w:r w:rsidDel="00000000" w:rsidR="00000000" w:rsidRPr="00000000">
        <w:rPr>
          <w:rtl w:val="0"/>
        </w:rPr>
        <w:t xml:space="preserve">  Occurs in the cytoplasm. Breaks one glucose (6-carbon) into two pyruvate (3-carbon) molecules. Net gain: 2 ATP and 2 NADH.</w:t>
      </w:r>
    </w:p>
    <w:p w:rsidR="00000000" w:rsidDel="00000000" w:rsidP="00000000" w:rsidRDefault="00000000" w:rsidRPr="00000000" w14:paraId="00000039">
      <w:pPr>
        <w:numPr>
          <w:ilvl w:val="0"/>
          <w:numId w:val="4"/>
        </w:numPr>
        <w:ind w:left="720" w:hanging="360"/>
        <w:rPr>
          <w:u w:val="none"/>
        </w:rPr>
      </w:pPr>
      <w:r w:rsidDel="00000000" w:rsidR="00000000" w:rsidRPr="00000000">
        <w:rPr>
          <w:b w:val="1"/>
          <w:bCs w:val="1"/>
          <w:rtl w:val="0"/>
        </w:rPr>
        <w:t xml:space="preserve">Pyruvate Oxidation:</w:t>
      </w:r>
      <w:r w:rsidDel="00000000" w:rsidR="00000000" w:rsidRPr="00000000">
        <w:rPr>
          <w:rtl w:val="0"/>
        </w:rPr>
        <w:t xml:space="preserve">  Occurs in the mitochondrial matrix. Converts pyruvate into Acetyl CoA, producing CO2 and NADH.</w:t>
      </w:r>
    </w:p>
    <w:p w:rsidR="00000000" w:rsidDel="00000000" w:rsidP="00000000" w:rsidRDefault="00000000" w:rsidRPr="00000000" w14:paraId="0000003A">
      <w:pPr>
        <w:numPr>
          <w:ilvl w:val="0"/>
          <w:numId w:val="4"/>
        </w:numPr>
        <w:ind w:left="720" w:hanging="360"/>
        <w:rPr>
          <w:u w:val="none"/>
        </w:rPr>
      </w:pPr>
      <w:r w:rsidDel="00000000" w:rsidR="00000000" w:rsidRPr="00000000">
        <w:rPr>
          <w:b w:val="1"/>
          <w:bCs w:val="1"/>
          <w:rtl w:val="0"/>
        </w:rPr>
        <w:t xml:space="preserve">Krebs Cycle (Citric Acid Cycle):</w:t>
      </w:r>
      <w:r w:rsidDel="00000000" w:rsidR="00000000" w:rsidRPr="00000000">
        <w:rPr>
          <w:rtl w:val="0"/>
        </w:rPr>
        <w:t xml:space="preserve">  Occurs in the mitochondrial matrix. Oxidizes Acetyl CoA to produce 6 NADH, 2 FADH2, 2 ATP, and 4 CO2 (totals for two cycles).</w:t>
      </w:r>
    </w:p>
    <w:p w:rsidR="00000000" w:rsidDel="00000000" w:rsidP="00000000" w:rsidRDefault="00000000" w:rsidRPr="00000000" w14:paraId="0000003B">
      <w:pPr>
        <w:numPr>
          <w:ilvl w:val="0"/>
          <w:numId w:val="4"/>
        </w:numPr>
        <w:ind w:left="720" w:hanging="360"/>
        <w:rPr>
          <w:u w:val="none"/>
        </w:rPr>
      </w:pPr>
      <w:r w:rsidDel="00000000" w:rsidR="00000000" w:rsidRPr="00000000">
        <w:rPr>
          <w:b w:val="1"/>
          <w:bCs w:val="1"/>
          <w:rtl w:val="0"/>
        </w:rPr>
        <w:t xml:space="preserve">Electron Transport Chain (ETC):</w:t>
      </w:r>
      <w:r w:rsidDel="00000000" w:rsidR="00000000" w:rsidRPr="00000000">
        <w:rPr>
          <w:rtl w:val="0"/>
        </w:rPr>
        <w:t xml:space="preserve">  Occurs in the inner mitochondrial membrane. Uses proton pumps to create a concentration gradient.</w:t>
      </w:r>
    </w:p>
    <w:p w:rsidR="00000000" w:rsidDel="00000000" w:rsidP="00000000" w:rsidRDefault="00000000" w:rsidRPr="00000000" w14:paraId="0000003C">
      <w:pPr>
        <w:pStyle w:val="Heading5"/>
        <w:rPr/>
      </w:pPr>
      <w:bookmarkStart w:colFirst="0" w:colLast="0" w:name="_hzgul5me0t9a" w:id="16"/>
      <w:bookmarkEnd w:id="16"/>
      <w:r w:rsidDel="00000000" w:rsidR="00000000" w:rsidRPr="00000000">
        <w:rPr>
          <w:rtl w:val="0"/>
        </w:rPr>
        <w:t xml:space="preserve">ATP Production Methods</w:t>
      </w:r>
    </w:p>
    <w:p w:rsidR="00000000" w:rsidDel="00000000" w:rsidP="00000000" w:rsidRDefault="00000000" w:rsidRPr="00000000" w14:paraId="0000003D">
      <w:pPr>
        <w:numPr>
          <w:ilvl w:val="0"/>
          <w:numId w:val="12"/>
        </w:numPr>
        <w:ind w:left="720" w:hanging="360"/>
        <w:rPr>
          <w:u w:val="none"/>
        </w:rPr>
      </w:pPr>
      <w:r w:rsidDel="00000000" w:rsidR="00000000" w:rsidRPr="00000000">
        <w:rPr>
          <w:b w:val="1"/>
          <w:bCs w:val="1"/>
          <w:rtl w:val="0"/>
        </w:rPr>
        <w:t xml:space="preserve">Substrate-Level Phosphorylation:</w:t>
      </w:r>
      <w:r w:rsidDel="00000000" w:rsidR="00000000" w:rsidRPr="00000000">
        <w:rPr>
          <w:rtl w:val="0"/>
        </w:rPr>
        <w:t xml:space="preserve">  An enzyme adds a phosphate group to ADP (occurs in Glycolysis and Krebs Cycle).</w:t>
      </w:r>
    </w:p>
    <w:p w:rsidR="00000000" w:rsidDel="00000000" w:rsidP="00000000" w:rsidRDefault="00000000" w:rsidRPr="00000000" w14:paraId="0000003E">
      <w:pPr>
        <w:numPr>
          <w:ilvl w:val="0"/>
          <w:numId w:val="12"/>
        </w:numPr>
        <w:ind w:left="720" w:hanging="360"/>
        <w:rPr>
          <w:u w:val="none"/>
        </w:rPr>
      </w:pPr>
      <w:r w:rsidDel="00000000" w:rsidR="00000000" w:rsidRPr="00000000">
        <w:rPr>
          <w:b w:val="1"/>
          <w:bCs w:val="1"/>
          <w:rtl w:val="0"/>
        </w:rPr>
        <w:t xml:space="preserve">Oxidative Phosphorylation:</w:t>
      </w:r>
      <w:r w:rsidDel="00000000" w:rsidR="00000000" w:rsidRPr="00000000">
        <w:rPr>
          <w:rtl w:val="0"/>
        </w:rPr>
        <w:t xml:space="preserve">  Responsible for 90% of ATP. Driven by  </w:t>
      </w:r>
      <w:r w:rsidDel="00000000" w:rsidR="00000000" w:rsidRPr="00000000">
        <w:rPr>
          <w:b w:val="1"/>
          <w:bCs w:val="1"/>
          <w:rtl w:val="0"/>
        </w:rPr>
        <w:t xml:space="preserve">ATP Synthase</w:t>
      </w:r>
      <w:r w:rsidDel="00000000" w:rsidR="00000000" w:rsidRPr="00000000">
        <w:rPr>
          <w:rtl w:val="0"/>
        </w:rPr>
        <w:t xml:space="preserve"> , which uses the kinetic energy of protons moving through the enzyme to phosphorylate ADP.</w:t>
      </w:r>
    </w:p>
    <w:p w:rsidR="00000000" w:rsidDel="00000000" w:rsidP="00000000" w:rsidRDefault="00000000" w:rsidRPr="00000000" w14:paraId="0000003F">
      <w:pPr>
        <w:pStyle w:val="Heading5"/>
        <w:rPr/>
      </w:pPr>
      <w:bookmarkStart w:colFirst="0" w:colLast="0" w:name="_dmbyn9pi1ans" w:id="17"/>
      <w:bookmarkEnd w:id="17"/>
      <w:r w:rsidDel="00000000" w:rsidR="00000000" w:rsidRPr="00000000">
        <w:rPr>
          <w:rtl w:val="0"/>
        </w:rPr>
        <w:t xml:space="preserve">Anaerobic Alternatives (Fermentation)</w:t>
      </w:r>
    </w:p>
    <w:p w:rsidR="00000000" w:rsidDel="00000000" w:rsidP="00000000" w:rsidRDefault="00000000" w:rsidRPr="00000000" w14:paraId="00000040">
      <w:pPr>
        <w:rPr/>
      </w:pPr>
      <w:r w:rsidDel="00000000" w:rsidR="00000000" w:rsidRPr="00000000">
        <w:rPr>
          <w:rtl w:val="0"/>
        </w:rPr>
        <w:t xml:space="preserve">In low-oxygen environments, cells use fermentation to oxidize pyruvate.</w:t>
      </w:r>
    </w:p>
    <w:p w:rsidR="00000000" w:rsidDel="00000000" w:rsidP="00000000" w:rsidRDefault="00000000" w:rsidRPr="00000000" w14:paraId="00000041">
      <w:pPr>
        <w:numPr>
          <w:ilvl w:val="0"/>
          <w:numId w:val="11"/>
        </w:numPr>
        <w:ind w:left="720" w:hanging="360"/>
        <w:rPr>
          <w:u w:val="none"/>
        </w:rPr>
      </w:pPr>
      <w:r w:rsidDel="00000000" w:rsidR="00000000" w:rsidRPr="00000000">
        <w:rPr>
          <w:b w:val="1"/>
          <w:bCs w:val="1"/>
          <w:rtl w:val="0"/>
        </w:rPr>
        <w:t xml:space="preserve">Lactic Acid Fermentation:</w:t>
      </w:r>
      <w:r w:rsidDel="00000000" w:rsidR="00000000" w:rsidRPr="00000000">
        <w:rPr>
          <w:rtl w:val="0"/>
        </w:rPr>
        <w:t xml:space="preserve">  Found in animals/bacteria; converts pyruvate to lactic acid.</w:t>
      </w:r>
    </w:p>
    <w:p w:rsidR="00000000" w:rsidDel="00000000" w:rsidP="00000000" w:rsidRDefault="00000000" w:rsidRPr="00000000" w14:paraId="00000042">
      <w:pPr>
        <w:numPr>
          <w:ilvl w:val="0"/>
          <w:numId w:val="11"/>
        </w:numPr>
        <w:ind w:left="720" w:hanging="360"/>
        <w:rPr>
          <w:u w:val="none"/>
        </w:rPr>
      </w:pPr>
      <w:r w:rsidDel="00000000" w:rsidR="00000000" w:rsidRPr="00000000">
        <w:rPr>
          <w:b w:val="1"/>
          <w:bCs w:val="1"/>
          <w:rtl w:val="0"/>
        </w:rPr>
        <w:t xml:space="preserve">Ethanol Fermentation:</w:t>
      </w:r>
      <w:r w:rsidDel="00000000" w:rsidR="00000000" w:rsidRPr="00000000">
        <w:rPr>
          <w:rtl w:val="0"/>
        </w:rPr>
        <w:t xml:space="preserve">  Found in plants; converts pyruvate to ethanol and CO2.</w:t>
      </w:r>
    </w:p>
    <w:p w:rsidR="00000000" w:rsidDel="00000000" w:rsidP="00000000" w:rsidRDefault="00000000" w:rsidRPr="00000000" w14:paraId="00000043">
      <w:pPr>
        <w:pStyle w:val="Heading4"/>
        <w:rPr/>
      </w:pPr>
      <w:bookmarkStart w:colFirst="0" w:colLast="0" w:name="_uqep6fx70fxm" w:id="18"/>
      <w:bookmarkEnd w:id="18"/>
      <w:r w:rsidDel="00000000" w:rsidR="00000000" w:rsidRPr="00000000">
        <w:rPr>
          <w:rtl w:val="0"/>
        </w:rPr>
        <w:t xml:space="preserve">V. Historical Themes of Innovation and Future Trends</w:t>
      </w:r>
    </w:p>
    <w:p w:rsidR="00000000" w:rsidDel="00000000" w:rsidP="00000000" w:rsidRDefault="00000000" w:rsidRPr="00000000" w14:paraId="00000044">
      <w:pPr>
        <w:rPr/>
      </w:pPr>
      <w:r w:rsidDel="00000000" w:rsidR="00000000" w:rsidRPr="00000000">
        <w:rPr>
          <w:rtl w:val="0"/>
        </w:rPr>
        <w:t xml:space="preserve">World history analysis highlights overarching threads that connect past technological shifts to future possibilities.</w:t>
      </w:r>
    </w:p>
    <w:p w:rsidR="00000000" w:rsidDel="00000000" w:rsidP="00000000" w:rsidRDefault="00000000" w:rsidRPr="00000000" w14:paraId="00000045">
      <w:pPr>
        <w:pStyle w:val="Heading5"/>
        <w:rPr/>
      </w:pPr>
      <w:bookmarkStart w:colFirst="0" w:colLast="0" w:name="_dtq52ogjo5sz" w:id="19"/>
      <w:bookmarkEnd w:id="19"/>
      <w:r w:rsidDel="00000000" w:rsidR="00000000" w:rsidRPr="00000000">
        <w:rPr>
          <w:rtl w:val="0"/>
        </w:rPr>
        <w:t xml:space="preserve">Technology, Demography, and Environment (Theme 3)</w:t>
      </w:r>
    </w:p>
    <w:p w:rsidR="00000000" w:rsidDel="00000000" w:rsidP="00000000" w:rsidRDefault="00000000" w:rsidRPr="00000000" w14:paraId="00000046">
      <w:pPr>
        <w:numPr>
          <w:ilvl w:val="0"/>
          <w:numId w:val="3"/>
        </w:numPr>
        <w:ind w:left="720" w:hanging="360"/>
        <w:rPr>
          <w:u w:val="none"/>
        </w:rPr>
      </w:pPr>
      <w:r w:rsidDel="00000000" w:rsidR="00000000" w:rsidRPr="00000000">
        <w:rPr>
          <w:b w:val="1"/>
          <w:bCs w:val="1"/>
          <w:rtl w:val="0"/>
        </w:rPr>
        <w:t xml:space="preserve">Historical Impact:</w:t>
      </w:r>
      <w:r w:rsidDel="00000000" w:rsidR="00000000" w:rsidRPr="00000000">
        <w:rPr>
          <w:rtl w:val="0"/>
        </w:rPr>
        <w:t xml:space="preserve">  Technology influences population growth, disease spread, manufacturing, and weaponry.</w:t>
      </w:r>
    </w:p>
    <w:p w:rsidR="00000000" w:rsidDel="00000000" w:rsidP="00000000" w:rsidRDefault="00000000" w:rsidRPr="00000000" w14:paraId="00000047">
      <w:pPr>
        <w:numPr>
          <w:ilvl w:val="0"/>
          <w:numId w:val="3"/>
        </w:numPr>
        <w:ind w:left="720" w:hanging="360"/>
        <w:rPr>
          <w:u w:val="none"/>
        </w:rPr>
      </w:pPr>
      <w:r w:rsidDel="00000000" w:rsidR="00000000" w:rsidRPr="00000000">
        <w:rPr>
          <w:b w:val="1"/>
          <w:bCs w:val="1"/>
          <w:rtl w:val="0"/>
        </w:rPr>
        <w:t xml:space="preserve">Future Timelines:</w:t>
      </w:r>
      <w:r w:rsidDel="00000000" w:rsidR="00000000" w:rsidRPr="00000000">
        <w:rPr>
          <w:rtl w:val="0"/>
        </w:rPr>
        <w:t xml:space="preserve">  Analyzing current trends to diverge between a  </w:t>
      </w:r>
      <w:r w:rsidDel="00000000" w:rsidR="00000000" w:rsidRPr="00000000">
        <w:rPr>
          <w:b w:val="1"/>
          <w:bCs w:val="1"/>
          <w:rtl w:val="0"/>
        </w:rPr>
        <w:t xml:space="preserve">probable timeline</w:t>
      </w:r>
      <w:r w:rsidDel="00000000" w:rsidR="00000000" w:rsidRPr="00000000">
        <w:rPr>
          <w:rtl w:val="0"/>
        </w:rPr>
        <w:t xml:space="preserve">  (what is likely based on data) and a  </w:t>
      </w:r>
      <w:r w:rsidDel="00000000" w:rsidR="00000000" w:rsidRPr="00000000">
        <w:rPr>
          <w:b w:val="1"/>
          <w:bCs w:val="1"/>
          <w:rtl w:val="0"/>
        </w:rPr>
        <w:t xml:space="preserve">preferred timeline</w:t>
      </w:r>
      <w:r w:rsidDel="00000000" w:rsidR="00000000" w:rsidRPr="00000000">
        <w:rPr>
          <w:rtl w:val="0"/>
        </w:rPr>
        <w:t xml:space="preserve">  (what is desired).</w:t>
      </w:r>
    </w:p>
    <w:p w:rsidR="00000000" w:rsidDel="00000000" w:rsidP="00000000" w:rsidRDefault="00000000" w:rsidRPr="00000000" w14:paraId="00000048">
      <w:pPr>
        <w:numPr>
          <w:ilvl w:val="0"/>
          <w:numId w:val="3"/>
        </w:numPr>
        <w:ind w:left="720" w:hanging="360"/>
        <w:rPr>
          <w:u w:val="none"/>
        </w:rPr>
      </w:pPr>
      <w:r w:rsidDel="00000000" w:rsidR="00000000" w:rsidRPr="00000000">
        <w:rPr>
          <w:b w:val="1"/>
          <w:bCs w:val="1"/>
          <w:rtl w:val="0"/>
        </w:rPr>
        <w:t xml:space="preserve">Global Resource Future:</w:t>
      </w:r>
      <w:r w:rsidDel="00000000" w:rsidR="00000000" w:rsidRPr="00000000">
        <w:rPr>
          <w:rtl w:val="0"/>
        </w:rPr>
        <w:t xml:space="preserve">  Emerging international perspectives on the future of ocean resources (water, fish) and ongoing deforestation.</w:t>
      </w:r>
    </w:p>
    <w:p w:rsidR="00000000" w:rsidDel="00000000" w:rsidP="00000000" w:rsidRDefault="00000000" w:rsidRPr="00000000" w14:paraId="00000049">
      <w:pPr>
        <w:pStyle w:val="Heading5"/>
        <w:rPr/>
      </w:pPr>
      <w:bookmarkStart w:colFirst="0" w:colLast="0" w:name="_dtoz0fnxgkdj" w:id="20"/>
      <w:bookmarkEnd w:id="20"/>
      <w:r w:rsidDel="00000000" w:rsidR="00000000" w:rsidRPr="00000000">
        <w:rPr>
          <w:rtl w:val="0"/>
        </w:rPr>
        <w:t xml:space="preserve">Changing Functions of States (Theme 6)</w:t>
      </w:r>
    </w:p>
    <w:p w:rsidR="00000000" w:rsidDel="00000000" w:rsidP="00000000" w:rsidRDefault="00000000" w:rsidRPr="00000000" w14:paraId="0000004A">
      <w:pPr>
        <w:numPr>
          <w:ilvl w:val="0"/>
          <w:numId w:val="8"/>
        </w:numPr>
        <w:ind w:left="720" w:hanging="360"/>
        <w:rPr>
          <w:u w:val="none"/>
        </w:rPr>
      </w:pPr>
      <w:r w:rsidDel="00000000" w:rsidR="00000000" w:rsidRPr="00000000">
        <w:rPr>
          <w:b w:val="1"/>
          <w:bCs w:val="1"/>
          <w:rtl w:val="0"/>
        </w:rPr>
        <w:t xml:space="preserve">Political Innovation:</w:t>
      </w:r>
      <w:r w:rsidDel="00000000" w:rsidR="00000000" w:rsidRPr="00000000">
        <w:rPr>
          <w:rtl w:val="0"/>
        </w:rPr>
        <w:t xml:space="preserve">  The emergence of the nation-state and the shift from "stateless" to organized political entities.</w:t>
      </w:r>
    </w:p>
    <w:p w:rsidR="00000000" w:rsidDel="00000000" w:rsidP="00000000" w:rsidRDefault="00000000" w:rsidRPr="00000000" w14:paraId="0000004B">
      <w:pPr>
        <w:numPr>
          <w:ilvl w:val="0"/>
          <w:numId w:val="8"/>
        </w:numPr>
        <w:ind w:left="720" w:hanging="360"/>
        <w:rPr>
          <w:u w:val="none"/>
        </w:rPr>
      </w:pPr>
      <w:r w:rsidDel="00000000" w:rsidR="00000000" w:rsidRPr="00000000">
        <w:rPr>
          <w:b w:val="1"/>
          <w:bCs w:val="1"/>
          <w:rtl w:val="0"/>
        </w:rPr>
        <w:t xml:space="preserve">Global Society Debates:</w:t>
      </w:r>
      <w:r w:rsidDel="00000000" w:rsidR="00000000" w:rsidRPr="00000000">
        <w:rPr>
          <w:rtl w:val="0"/>
        </w:rPr>
        <w:t xml:space="preserve">  The point at which internal affairs (genocide, environmental protection, human rights) transcend national boundaries to become international issues.</w:t>
      </w:r>
    </w:p>
    <w:p w:rsidR="00000000" w:rsidDel="00000000" w:rsidP="00000000" w:rsidRDefault="00000000" w:rsidRPr="00000000" w14:paraId="0000004C">
      <w:pPr>
        <w:pStyle w:val="Heading5"/>
        <w:rPr/>
      </w:pPr>
      <w:bookmarkStart w:colFirst="0" w:colLast="0" w:name="_dxzata2106as" w:id="21"/>
      <w:bookmarkEnd w:id="21"/>
      <w:r w:rsidDel="00000000" w:rsidR="00000000" w:rsidRPr="00000000">
        <w:rPr>
          <w:rtl w:val="0"/>
        </w:rPr>
        <w:t xml:space="preserve">Key Conceptual Guardrails</w:t>
      </w:r>
    </w:p>
    <w:p w:rsidR="00000000" w:rsidDel="00000000" w:rsidP="00000000" w:rsidRDefault="00000000" w:rsidRPr="00000000" w14:paraId="0000004D">
      <w:pPr>
        <w:numPr>
          <w:ilvl w:val="0"/>
          <w:numId w:val="13"/>
        </w:numPr>
        <w:ind w:left="720" w:hanging="360"/>
        <w:rPr>
          <w:u w:val="none"/>
        </w:rPr>
      </w:pPr>
      <w:r w:rsidDel="00000000" w:rsidR="00000000" w:rsidRPr="00000000">
        <w:rPr>
          <w:b w:val="1"/>
          <w:bCs w:val="1"/>
          <w:rtl w:val="0"/>
        </w:rPr>
        <w:t xml:space="preserve">The Base-Rate Check:</w:t>
      </w:r>
      <w:r w:rsidDel="00000000" w:rsidR="00000000" w:rsidRPr="00000000">
        <w:rPr>
          <w:rtl w:val="0"/>
        </w:rPr>
        <w:t xml:space="preserve">  When forecasting the future of an innovation, always consider the historical base rate for similar outcomes. Ignoring base rates often leads to the false assumption that a project will be the "exception" to historical failure.</w:t>
      </w:r>
    </w:p>
    <w:p w:rsidR="00000000" w:rsidDel="00000000" w:rsidP="00000000" w:rsidRDefault="00000000" w:rsidRPr="00000000" w14:paraId="0000004E">
      <w:pPr>
        <w:numPr>
          <w:ilvl w:val="0"/>
          <w:numId w:val="13"/>
        </w:numPr>
        <w:ind w:left="720" w:hanging="360"/>
        <w:rPr>
          <w:u w:val="none"/>
        </w:rPr>
      </w:pPr>
      <w:r w:rsidDel="00000000" w:rsidR="00000000" w:rsidRPr="00000000">
        <w:rPr>
          <w:b w:val="1"/>
          <w:bCs w:val="1"/>
          <w:rtl w:val="0"/>
        </w:rPr>
        <w:t xml:space="preserve">The Bullwhip Effect:</w:t>
      </w:r>
      <w:r w:rsidDel="00000000" w:rsidR="00000000" w:rsidRPr="00000000">
        <w:rPr>
          <w:rtl w:val="0"/>
        </w:rPr>
        <w:t xml:space="preserve">  In operations, small changes in future demand amplify as they move upstream. Counter this with shared forecasts and faster cycle times.</w:t>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