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FB7D" w14:textId="3BBB0601" w:rsidR="007F2A70" w:rsidRPr="000B4FC8" w:rsidRDefault="007F2A70" w:rsidP="007F2A70">
      <w:pPr>
        <w:rPr>
          <w:rFonts w:ascii="Times New Roman" w:hAnsi="Times New Roman" w:cs="Times New Roman"/>
          <w:b/>
          <w:sz w:val="28"/>
          <w:szCs w:val="28"/>
        </w:rPr>
      </w:pPr>
      <w:r w:rsidRPr="000B4FC8">
        <w:rPr>
          <w:rFonts w:ascii="Times New Roman" w:hAnsi="Times New Roman" w:cs="Times New Roman"/>
          <w:b/>
          <w:sz w:val="28"/>
          <w:szCs w:val="28"/>
        </w:rPr>
        <w:t>SUPLEMENTARY MATERIAL – GUIDELINES</w:t>
      </w:r>
    </w:p>
    <w:p w14:paraId="031E8BBC" w14:textId="427E7689" w:rsidR="007F2A70" w:rsidRPr="000B4FC8" w:rsidRDefault="007F2A70" w:rsidP="007F2A70">
      <w:pPr>
        <w:rPr>
          <w:rFonts w:ascii="Times New Roman" w:hAnsi="Times New Roman" w:cs="Times New Roman"/>
          <w:b/>
          <w:sz w:val="28"/>
          <w:szCs w:val="28"/>
        </w:rPr>
      </w:pPr>
      <w:r w:rsidRPr="000B4FC8">
        <w:rPr>
          <w:rFonts w:ascii="Times New Roman" w:hAnsi="Times New Roman" w:cs="Times New Roman"/>
          <w:b/>
          <w:sz w:val="28"/>
          <w:szCs w:val="28"/>
        </w:rPr>
        <w:t>Further development of spinal cord re-treatment dose estimation: including radiotherapy with protons and light ions.</w:t>
      </w:r>
    </w:p>
    <w:p w14:paraId="08964010" w14:textId="0497A0AE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Joshua Moore, Thomas Woolley, John W Hopewell and Bleddyn Jones. </w:t>
      </w:r>
    </w:p>
    <w:p w14:paraId="453B2AED" w14:textId="77777777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BB4C" wp14:editId="051C422E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55816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A68E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5pt" to="43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Pr="000B4FC8">
        <w:rPr>
          <w:rFonts w:ascii="Times New Roman" w:hAnsi="Times New Roman" w:cs="Times New Roman"/>
          <w:sz w:val="24"/>
          <w:szCs w:val="24"/>
        </w:rPr>
        <w:t>BED CALCULATOR</w:t>
      </w:r>
    </w:p>
    <w:p w14:paraId="09EA9AFF" w14:textId="5F140177" w:rsidR="007F2A70" w:rsidRPr="000B4FC8" w:rsidRDefault="007F2A70" w:rsidP="007F2A70">
      <w:pPr>
        <w:rPr>
          <w:rFonts w:ascii="Times New Roman" w:hAnsi="Times New Roman" w:cs="Times New Roman"/>
        </w:rPr>
      </w:pPr>
      <w:r w:rsidRPr="000B4F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3A3F2" wp14:editId="7A554E75">
                <wp:simplePos x="0" y="0"/>
                <wp:positionH relativeFrom="column">
                  <wp:posOffset>-1</wp:posOffset>
                </wp:positionH>
                <wp:positionV relativeFrom="paragraph">
                  <wp:posOffset>2826385</wp:posOffset>
                </wp:positionV>
                <wp:extent cx="56864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FBC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2.55pt" to="447.7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Pr="000B4FC8">
        <w:rPr>
          <w:rFonts w:ascii="Times New Roman" w:hAnsi="Times New Roman" w:cs="Times New Roman"/>
          <w:noProof/>
        </w:rPr>
        <w:drawing>
          <wp:inline distT="0" distB="0" distL="0" distR="0" wp14:anchorId="1D890FF8" wp14:editId="77F15C46">
            <wp:extent cx="5598596" cy="2509260"/>
            <wp:effectExtent l="0" t="0" r="2540" b="571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 picture for sup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7" t="15194" r="14929" b="29010"/>
                    <a:stretch/>
                  </pic:blipFill>
                  <pic:spPr bwMode="auto">
                    <a:xfrm>
                      <a:off x="0" y="0"/>
                      <a:ext cx="5639055" cy="252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8D466" w14:textId="54802F48" w:rsidR="007F2A70" w:rsidRPr="000B4FC8" w:rsidRDefault="007F2A70" w:rsidP="007F2A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The Graphical User Interface (GUI) described in this manuscript can be downloaded as an executable in the zip file provided entitled ‘BED V1.75’  </w:t>
      </w:r>
    </w:p>
    <w:p w14:paraId="6D090386" w14:textId="2E0DE6BE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Updated versions of the GUI will also be made available using the following supplementary link: - </w:t>
      </w:r>
    </w:p>
    <w:p w14:paraId="6659C057" w14:textId="0EA0A9E9" w:rsidR="007F2A70" w:rsidRPr="000B4FC8" w:rsidRDefault="000B4FC8" w:rsidP="007F2A7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F2A70" w:rsidRPr="000B4FC8">
          <w:rPr>
            <w:rStyle w:val="Hyperlink"/>
            <w:rFonts w:ascii="Times New Roman" w:hAnsi="Times New Roman" w:cs="Times New Roman"/>
          </w:rPr>
          <w:t>https://github.com/joshwillmoore1/BED-Calculator</w:t>
        </w:r>
      </w:hyperlink>
    </w:p>
    <w:p w14:paraId="5FC2EB6E" w14:textId="5B4DD65B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Any technical computational issues related to the use of the GUI can 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be report directly to MooreJ16@cardiff.ac.uk. </w:t>
      </w:r>
      <w:r w:rsidRPr="000B4FC8">
        <w:rPr>
          <w:rFonts w:ascii="Times New Roman" w:hAnsi="Times New Roman" w:cs="Times New Roman"/>
          <w:sz w:val="24"/>
          <w:szCs w:val="24"/>
        </w:rPr>
        <w:t xml:space="preserve">Please note Thomas E. Woolley </w:t>
      </w:r>
      <w:r w:rsidR="005A1D9A" w:rsidRPr="000B4FC8">
        <w:rPr>
          <w:rFonts w:ascii="Times New Roman" w:hAnsi="Times New Roman" w:cs="Times New Roman"/>
          <w:sz w:val="24"/>
          <w:szCs w:val="24"/>
        </w:rPr>
        <w:t>and Joshua Moore are</w:t>
      </w:r>
      <w:r w:rsidRPr="000B4FC8">
        <w:rPr>
          <w:rFonts w:ascii="Times New Roman" w:hAnsi="Times New Roman" w:cs="Times New Roman"/>
          <w:sz w:val="24"/>
          <w:szCs w:val="24"/>
        </w:rPr>
        <w:t xml:space="preserve"> mathematician</w:t>
      </w:r>
      <w:r w:rsidR="005A1D9A" w:rsidRPr="000B4FC8">
        <w:rPr>
          <w:rFonts w:ascii="Times New Roman" w:hAnsi="Times New Roman" w:cs="Times New Roman"/>
          <w:sz w:val="24"/>
          <w:szCs w:val="24"/>
        </w:rPr>
        <w:t>s</w:t>
      </w:r>
      <w:r w:rsidRPr="000B4FC8">
        <w:rPr>
          <w:rFonts w:ascii="Times New Roman" w:hAnsi="Times New Roman" w:cs="Times New Roman"/>
          <w:sz w:val="24"/>
          <w:szCs w:val="24"/>
        </w:rPr>
        <w:t xml:space="preserve"> and </w:t>
      </w:r>
      <w:r w:rsidR="005A1D9A" w:rsidRPr="000B4FC8">
        <w:rPr>
          <w:rFonts w:ascii="Times New Roman" w:hAnsi="Times New Roman" w:cs="Times New Roman"/>
          <w:sz w:val="24"/>
          <w:szCs w:val="24"/>
        </w:rPr>
        <w:t>are</w:t>
      </w:r>
      <w:r w:rsidRPr="000B4FC8">
        <w:rPr>
          <w:rFonts w:ascii="Times New Roman" w:hAnsi="Times New Roman" w:cs="Times New Roman"/>
          <w:sz w:val="24"/>
          <w:szCs w:val="24"/>
        </w:rPr>
        <w:t xml:space="preserve"> unable to supply any help on any </w:t>
      </w:r>
      <w:proofErr w:type="gramStart"/>
      <w:r w:rsidRPr="000B4FC8">
        <w:rPr>
          <w:rFonts w:ascii="Times New Roman" w:hAnsi="Times New Roman" w:cs="Times New Roman"/>
          <w:sz w:val="24"/>
          <w:szCs w:val="24"/>
        </w:rPr>
        <w:t>particular medical</w:t>
      </w:r>
      <w:proofErr w:type="gramEnd"/>
      <w:r w:rsidRPr="000B4FC8">
        <w:rPr>
          <w:rFonts w:ascii="Times New Roman" w:hAnsi="Times New Roman" w:cs="Times New Roman"/>
          <w:sz w:val="24"/>
          <w:szCs w:val="24"/>
        </w:rPr>
        <w:t xml:space="preserve"> application. These should be directed to the local clinical specialist of the user.</w:t>
      </w:r>
    </w:p>
    <w:p w14:paraId="53CEC61C" w14:textId="77777777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By accessing and installing the BED calculator, or Graphic user interface (GUI), to a personal </w:t>
      </w:r>
      <w:bookmarkStart w:id="0" w:name="_GoBack"/>
      <w:bookmarkEnd w:id="0"/>
      <w:r w:rsidRPr="000B4FC8">
        <w:rPr>
          <w:rFonts w:ascii="Times New Roman" w:hAnsi="Times New Roman" w:cs="Times New Roman"/>
          <w:sz w:val="24"/>
          <w:szCs w:val="24"/>
        </w:rPr>
        <w:t>computer the user is also agreeing to accept the following conditions:</w:t>
      </w:r>
    </w:p>
    <w:p w14:paraId="3E92F045" w14:textId="77777777" w:rsidR="007F2A70" w:rsidRPr="000B4FC8" w:rsidRDefault="007F2A70" w:rsidP="007F2A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4FC8">
        <w:rPr>
          <w:rFonts w:ascii="Times New Roman" w:hAnsi="Times New Roman" w:cs="Times New Roman"/>
          <w:b/>
          <w:sz w:val="24"/>
          <w:szCs w:val="24"/>
          <w:u w:val="single"/>
        </w:rPr>
        <w:t>TERMS AND CONDITIONS</w:t>
      </w:r>
    </w:p>
    <w:p w14:paraId="26186793" w14:textId="38FCC78D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1) Any clinical decisions taken following the use of the GUI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 </w:t>
      </w:r>
      <w:r w:rsidRPr="000B4FC8">
        <w:rPr>
          <w:rFonts w:ascii="Times New Roman" w:hAnsi="Times New Roman" w:cs="Times New Roman"/>
          <w:sz w:val="24"/>
          <w:szCs w:val="24"/>
          <w:u w:val="single"/>
        </w:rPr>
        <w:t>must</w:t>
      </w:r>
      <w:r w:rsidRPr="000B4FC8">
        <w:rPr>
          <w:rFonts w:ascii="Times New Roman" w:hAnsi="Times New Roman" w:cs="Times New Roman"/>
          <w:sz w:val="24"/>
          <w:szCs w:val="24"/>
        </w:rPr>
        <w:t xml:space="preserve"> be the responsibility of the local clinical specialists of the user</w:t>
      </w:r>
    </w:p>
    <w:p w14:paraId="114A4A72" w14:textId="77777777" w:rsidR="007F2A70" w:rsidRPr="000B4FC8" w:rsidRDefault="007F2A70" w:rsidP="007F2A70">
      <w:pPr>
        <w:rPr>
          <w:rFonts w:ascii="Times New Roman" w:hAnsi="Times New Roman" w:cs="Times New Roman"/>
          <w:b/>
          <w:sz w:val="20"/>
          <w:szCs w:val="20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2) The GUI must be used in conjunction with the advice in the original published paper </w:t>
      </w:r>
    </w:p>
    <w:p w14:paraId="4BF42833" w14:textId="77777777" w:rsidR="007F2A70" w:rsidRPr="000B4FC8" w:rsidRDefault="007F2A70">
      <w:pPr>
        <w:rPr>
          <w:rFonts w:ascii="Times New Roman" w:hAnsi="Times New Roman" w:cs="Times New Roman"/>
        </w:rPr>
      </w:pPr>
    </w:p>
    <w:sectPr w:rsidR="007F2A70" w:rsidRPr="000B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70"/>
    <w:rsid w:val="000B4FC8"/>
    <w:rsid w:val="005A1D9A"/>
    <w:rsid w:val="007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48A1"/>
  <w15:chartTrackingRefBased/>
  <w15:docId w15:val="{E0F74A9F-BD5E-432E-BA87-95557B45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2A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willmoore1/BED-Calcula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Moore</dc:creator>
  <cp:keywords/>
  <dc:description/>
  <cp:lastModifiedBy>Josh Moore</cp:lastModifiedBy>
  <cp:revision>2</cp:revision>
  <dcterms:created xsi:type="dcterms:W3CDTF">2019-10-06T18:00:00Z</dcterms:created>
  <dcterms:modified xsi:type="dcterms:W3CDTF">2019-10-06T18:33:00Z</dcterms:modified>
</cp:coreProperties>
</file>