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7AD32" w14:textId="77777777" w:rsidR="005C579E" w:rsidRDefault="003D402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6"/>
          <w:szCs w:val="26"/>
        </w:rPr>
      </w:pPr>
      <w:r>
        <w:t>“I</w:t>
      </w:r>
      <w:r>
        <w:rPr>
          <w:rFonts w:ascii="Helvetica Neue" w:hAnsi="Helvetica Neue" w:cs="Helvetica Neue"/>
          <w:sz w:val="26"/>
          <w:szCs w:val="26"/>
        </w:rPr>
        <w:t xml:space="preserve">n our view, perspective taking, top– down simulation, and theory of mind are highly similar to cog- </w:t>
      </w:r>
      <w:proofErr w:type="spellStart"/>
      <w:r>
        <w:rPr>
          <w:rFonts w:ascii="Helvetica Neue" w:hAnsi="Helvetica Neue" w:cs="Helvetica Neue"/>
          <w:sz w:val="26"/>
          <w:szCs w:val="26"/>
        </w:rPr>
        <w:t>nitive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empathy, and all require the observer to activate personal representations of the target’s state or situation; but cognitive empathy is necessarily affective, whereas the former need not be (see also Schnell, </w:t>
      </w:r>
      <w:proofErr w:type="spellStart"/>
      <w:r>
        <w:rPr>
          <w:rFonts w:ascii="Helvetica Neue" w:hAnsi="Helvetica Neue" w:cs="Helvetica Neue"/>
          <w:sz w:val="26"/>
          <w:szCs w:val="26"/>
        </w:rPr>
        <w:t>Bluschke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, </w:t>
      </w:r>
      <w:proofErr w:type="spellStart"/>
      <w:r>
        <w:rPr>
          <w:rFonts w:ascii="Helvetica Neue" w:hAnsi="Helvetica Neue" w:cs="Helvetica Neue"/>
          <w:sz w:val="26"/>
          <w:szCs w:val="26"/>
        </w:rPr>
        <w:t>Konradt</w:t>
      </w:r>
      <w:proofErr w:type="spellEnd"/>
      <w:r>
        <w:rPr>
          <w:rFonts w:ascii="Helvetica Neue" w:hAnsi="Helvetica Neue" w:cs="Helvetica Neue"/>
          <w:sz w:val="26"/>
          <w:szCs w:val="26"/>
        </w:rPr>
        <w:t>, &amp; Walter, 2011).</w:t>
      </w:r>
      <w:r>
        <w:rPr>
          <w:rFonts w:ascii="Helvetica Neue" w:hAnsi="Helvetica Neue" w:cs="Helvetica Neue"/>
          <w:sz w:val="26"/>
          <w:szCs w:val="26"/>
        </w:rPr>
        <w:t xml:space="preserve">” – Preston &amp; </w:t>
      </w:r>
      <w:proofErr w:type="spellStart"/>
      <w:r>
        <w:rPr>
          <w:rFonts w:ascii="Helvetica Neue" w:hAnsi="Helvetica Neue" w:cs="Helvetica Neue"/>
          <w:sz w:val="26"/>
          <w:szCs w:val="26"/>
        </w:rPr>
        <w:t>Hofelich</w:t>
      </w:r>
      <w:proofErr w:type="spellEnd"/>
    </w:p>
    <w:p w14:paraId="42FC0E50" w14:textId="77777777" w:rsidR="003D4028" w:rsidRDefault="003D402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6"/>
          <w:szCs w:val="26"/>
        </w:rPr>
      </w:pPr>
    </w:p>
    <w:p w14:paraId="5ABDE0E9" w14:textId="77777777" w:rsidR="003D4028" w:rsidRDefault="003D402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Use PT and objective conditions – </w:t>
      </w:r>
      <w:proofErr w:type="spellStart"/>
      <w:r>
        <w:rPr>
          <w:rFonts w:ascii="Helvetica Neue" w:hAnsi="Helvetica Neue" w:cs="Helvetica Neue"/>
          <w:sz w:val="26"/>
          <w:szCs w:val="26"/>
        </w:rPr>
        <w:t>Maner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 et al., 2002</w:t>
      </w:r>
    </w:p>
    <w:p w14:paraId="416A4048" w14:textId="77777777" w:rsidR="003D4028" w:rsidRDefault="003D402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6"/>
          <w:szCs w:val="26"/>
        </w:rPr>
      </w:pPr>
    </w:p>
    <w:p w14:paraId="2430EABE" w14:textId="77777777" w:rsidR="003D4028" w:rsidRDefault="003D4028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My notes--</w:t>
      </w:r>
      <w:r>
        <w:rPr>
          <w:rFonts w:ascii="Helvetica Neue" w:hAnsi="Helvetica Neue" w:cs="Helvetica Neue"/>
          <w:sz w:val="28"/>
          <w:szCs w:val="28"/>
        </w:rPr>
        <w:t>Results interpreted in terms of affective perspective taking (infer other's state by putting oneself in other's place and basing response off that inference, even in the absence of emotional cues)</w:t>
      </w:r>
      <w:r>
        <w:rPr>
          <w:rFonts w:ascii="Helvetica Neue" w:hAnsi="Helvetica Neue" w:cs="Helvetica Neue"/>
          <w:sz w:val="28"/>
          <w:szCs w:val="28"/>
        </w:rPr>
        <w:t xml:space="preserve"> – </w:t>
      </w:r>
      <w:proofErr w:type="spellStart"/>
      <w:r>
        <w:rPr>
          <w:rFonts w:ascii="Helvetica Neue" w:hAnsi="Helvetica Neue" w:cs="Helvetica Neue"/>
          <w:sz w:val="28"/>
          <w:szCs w:val="28"/>
        </w:rPr>
        <w:t>Vaish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et al., 2009</w:t>
      </w:r>
    </w:p>
    <w:p w14:paraId="03AA33AC" w14:textId="77777777" w:rsidR="00980BE7" w:rsidRDefault="00980BE7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PT </w:t>
      </w:r>
      <w:r w:rsidR="00793F99">
        <w:rPr>
          <w:rFonts w:ascii="Helvetica Neue" w:hAnsi="Helvetica Neue" w:cs="Helvetica Neue"/>
          <w:sz w:val="28"/>
          <w:szCs w:val="28"/>
        </w:rPr>
        <w:t xml:space="preserve">vs. objective </w:t>
      </w:r>
      <w:r>
        <w:rPr>
          <w:rFonts w:ascii="Helvetica Neue" w:hAnsi="Helvetica Neue" w:cs="Helvetica Neue"/>
          <w:sz w:val="28"/>
          <w:szCs w:val="28"/>
        </w:rPr>
        <w:t>affects both empathy and situational attributions</w:t>
      </w:r>
      <w:r w:rsidR="00793F99">
        <w:rPr>
          <w:rFonts w:ascii="Helvetica Neue" w:hAnsi="Helvetica Neue" w:cs="Helvetica Neue"/>
          <w:sz w:val="28"/>
          <w:szCs w:val="28"/>
        </w:rPr>
        <w:t xml:space="preserve">, authors argue that situational attributions is what improves </w:t>
      </w:r>
      <w:proofErr w:type="spellStart"/>
      <w:r w:rsidR="00793F99">
        <w:rPr>
          <w:rFonts w:ascii="Helvetica Neue" w:hAnsi="Helvetica Neue" w:cs="Helvetica Neue"/>
          <w:sz w:val="28"/>
          <w:szCs w:val="28"/>
        </w:rPr>
        <w:t>outgroup</w:t>
      </w:r>
      <w:proofErr w:type="spellEnd"/>
      <w:r w:rsidR="00793F99">
        <w:rPr>
          <w:rFonts w:ascii="Helvetica Neue" w:hAnsi="Helvetica Neue" w:cs="Helvetica Neue"/>
          <w:sz w:val="28"/>
          <w:szCs w:val="28"/>
        </w:rPr>
        <w:t xml:space="preserve"> attitudes – </w:t>
      </w:r>
      <w:proofErr w:type="spellStart"/>
      <w:r w:rsidR="00793F99">
        <w:rPr>
          <w:rFonts w:ascii="Helvetica Neue" w:hAnsi="Helvetica Neue" w:cs="Helvetica Neue"/>
          <w:sz w:val="28"/>
          <w:szCs w:val="28"/>
        </w:rPr>
        <w:t>Vescio</w:t>
      </w:r>
      <w:proofErr w:type="spellEnd"/>
      <w:r w:rsidR="00793F99">
        <w:rPr>
          <w:rFonts w:ascii="Helvetica Neue" w:hAnsi="Helvetica Neue" w:cs="Helvetica Neue"/>
          <w:sz w:val="28"/>
          <w:szCs w:val="28"/>
        </w:rPr>
        <w:t xml:space="preserve"> et al.,</w:t>
      </w:r>
      <w:bookmarkStart w:id="0" w:name="_GoBack"/>
      <w:bookmarkEnd w:id="0"/>
      <w:r w:rsidR="00793F99">
        <w:rPr>
          <w:rFonts w:ascii="Helvetica Neue" w:hAnsi="Helvetica Neue" w:cs="Helvetica Neue"/>
          <w:sz w:val="28"/>
          <w:szCs w:val="28"/>
        </w:rPr>
        <w:t xml:space="preserve"> 2003</w:t>
      </w:r>
    </w:p>
    <w:p w14:paraId="338D0D40" w14:textId="77777777" w:rsidR="004624D4" w:rsidRDefault="004624D4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sz w:val="28"/>
          <w:szCs w:val="28"/>
        </w:rPr>
      </w:pPr>
    </w:p>
    <w:p w14:paraId="454219D4" w14:textId="77777777" w:rsidR="004624D4" w:rsidRPr="003D4028" w:rsidRDefault="004624D4" w:rsidP="003D4028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sz w:val="28"/>
          <w:szCs w:val="28"/>
        </w:rPr>
        <w:t>PT vs. objective used for racial biases in Todd et al., 2011</w:t>
      </w:r>
    </w:p>
    <w:sectPr w:rsidR="004624D4" w:rsidRPr="003D4028" w:rsidSect="00C9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28"/>
    <w:rsid w:val="003D4028"/>
    <w:rsid w:val="004624D4"/>
    <w:rsid w:val="005C579E"/>
    <w:rsid w:val="00793F99"/>
    <w:rsid w:val="008B7C07"/>
    <w:rsid w:val="00980BE7"/>
    <w:rsid w:val="00C9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D79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Wondra</dc:creator>
  <cp:keywords/>
  <dc:description/>
  <cp:lastModifiedBy>Josh Wondra</cp:lastModifiedBy>
  <cp:revision>1</cp:revision>
  <dcterms:created xsi:type="dcterms:W3CDTF">2016-01-19T21:42:00Z</dcterms:created>
  <dcterms:modified xsi:type="dcterms:W3CDTF">2016-01-20T21:50:00Z</dcterms:modified>
</cp:coreProperties>
</file>