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spacing w:after="320"/>
      </w:pPr>
    </w:p>
    <w:p>
      <w:pPr>
        <w:spacing w:after="320"/>
      </w:pPr>
    </w:p>
    <w:p>
      <w:pPr>
        <w:spacing w:after="320"/>
      </w:pPr>
    </w:p>
    <w:p>
      <w:pPr>
        <w:spacing w:after="360"/>
        <w:jc w:val="center"/>
      </w:pPr>
      <w:r>
        <w:rPr>
          <w:rFonts w:ascii="Calibri" w:hAnsi="Calibri"/>
          <w:b/>
          <w:color w:val="9B761A"/>
          <w:sz w:val="20"/>
        </w:rPr>
        <w:t>IMPLEMENTATION PLAYBOOK</w:t>
      </w:r>
    </w:p>
    <w:p>
      <w:pPr>
        <w:spacing w:after="160"/>
        <w:jc w:val="center"/>
      </w:pPr>
      <w:r>
        <w:rPr>
          <w:rFonts w:ascii="Calibri" w:hAnsi="Calibri"/>
          <w:b/>
          <w:color w:val="0B2545"/>
          <w:sz w:val="60"/>
        </w:rPr>
        <w:t>Agentic ML/Data Platform</w:t>
      </w:r>
    </w:p>
    <w:p>
      <w:pPr>
        <w:spacing w:after="520"/>
        <w:jc w:val="center"/>
      </w:pPr>
      <w:r>
        <w:rPr>
          <w:rFonts w:ascii="Calibri" w:hAnsi="Calibri"/>
          <w:color w:val="1F4D78"/>
          <w:sz w:val="32"/>
        </w:rPr>
        <w:t>End-to-End Runtime and Harness Implementation</w:t>
      </w:r>
    </w:p>
    <w:p>
      <w:pPr>
        <w:spacing w:after="600"/>
        <w:pBdr>
          <w:bottom w:val="single" w:sz="12" w:space="5" w:color="9B761A"/>
        </w:pBdr>
      </w:pPr>
    </w:p>
    <w:tbl>
      <w:tblPr>
        <w:tblW w:type="dxa" w:w="9360"/>
        <w:jc w:val="left"/>
        <w:tblLayout w:type="fixed"/>
        <w:tblLook w:firstColumn="1" w:firstRow="1" w:lastColumn="0" w:lastRow="0" w:noHBand="0" w:noVBand="1" w:val="04A0"/>
        <w:tblInd w:w="12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2160"/>
        <w:gridCol w:w="7200"/>
      </w:tblGrid>
      <w:tr>
        <w:tc>
          <w:tcPr>
            <w:tcW w:type="dxa" w:w="2160"/>
            <w:tcMar>
              <w:top w:w="80" w:type="dxa"/>
              <w:start w:w="120" w:type="dxa"/>
              <w:bottom w:w="80" w:type="dxa"/>
              <w:end w:w="120" w:type="dxa"/>
            </w:tcMar>
          </w:tcPr>
          <w:p>
            <w:pPr>
              <w:spacing w:after="60"/>
            </w:pPr>
            <w:r>
              <w:rPr>
                <w:rFonts w:ascii="Calibri" w:hAnsi="Calibri"/>
                <w:b/>
                <w:color w:val="5B6573"/>
                <w:sz w:val="18"/>
              </w:rPr>
              <w:t>STATUS</w:t>
            </w:r>
          </w:p>
        </w:tc>
        <w:tc>
          <w:tcPr>
            <w:tcW w:type="dxa" w:w="7200"/>
            <w:tcMar>
              <w:top w:w="80" w:type="dxa"/>
              <w:start w:w="120" w:type="dxa"/>
              <w:bottom w:w="80" w:type="dxa"/>
              <w:end w:w="120" w:type="dxa"/>
            </w:tcMar>
          </w:tcPr>
          <w:p>
            <w:pPr>
              <w:spacing w:after="60"/>
            </w:pPr>
            <w:r>
              <w:rPr>
                <w:rFonts w:ascii="Calibri" w:hAnsi="Calibri"/>
                <w:color w:val="0B2545"/>
                <w:sz w:val="21"/>
              </w:rPr>
              <w:t>Baseline implementation authority</w:t>
            </w:r>
          </w:p>
        </w:tc>
      </w:tr>
      <w:tr>
        <w:tc>
          <w:tcPr>
            <w:tcW w:type="dxa" w:w="2160"/>
            <w:tcMar>
              <w:top w:w="80" w:type="dxa"/>
              <w:start w:w="120" w:type="dxa"/>
              <w:bottom w:w="80" w:type="dxa"/>
              <w:end w:w="120" w:type="dxa"/>
            </w:tcMar>
          </w:tcPr>
          <w:p>
            <w:pPr>
              <w:spacing w:after="60"/>
            </w:pPr>
            <w:r>
              <w:rPr>
                <w:rFonts w:ascii="Calibri" w:hAnsi="Calibri"/>
                <w:b/>
                <w:color w:val="5B6573"/>
                <w:sz w:val="18"/>
              </w:rPr>
              <w:t>VERSION</w:t>
            </w:r>
          </w:p>
        </w:tc>
        <w:tc>
          <w:tcPr>
            <w:tcW w:type="dxa" w:w="7200"/>
            <w:tcMar>
              <w:top w:w="80" w:type="dxa"/>
              <w:start w:w="120" w:type="dxa"/>
              <w:bottom w:w="80" w:type="dxa"/>
              <w:end w:w="120" w:type="dxa"/>
            </w:tcMar>
          </w:tcPr>
          <w:p>
            <w:pPr>
              <w:spacing w:after="60"/>
            </w:pPr>
            <w:r>
              <w:rPr>
                <w:rFonts w:ascii="Calibri" w:hAnsi="Calibri"/>
                <w:color w:val="0B2545"/>
                <w:sz w:val="21"/>
              </w:rPr>
              <w:t>1.0</w:t>
            </w:r>
          </w:p>
        </w:tc>
      </w:tr>
      <w:tr>
        <w:tc>
          <w:tcPr>
            <w:tcW w:type="dxa" w:w="2160"/>
            <w:tcMar>
              <w:top w:w="80" w:type="dxa"/>
              <w:start w:w="120" w:type="dxa"/>
              <w:bottom w:w="80" w:type="dxa"/>
              <w:end w:w="120" w:type="dxa"/>
            </w:tcMar>
          </w:tcPr>
          <w:p>
            <w:pPr>
              <w:spacing w:after="60"/>
            </w:pPr>
            <w:r>
              <w:rPr>
                <w:rFonts w:ascii="Calibri" w:hAnsi="Calibri"/>
                <w:b/>
                <w:color w:val="5B6573"/>
                <w:sz w:val="18"/>
              </w:rPr>
              <w:t>PREPARED</w:t>
            </w:r>
          </w:p>
        </w:tc>
        <w:tc>
          <w:tcPr>
            <w:tcW w:type="dxa" w:w="7200"/>
            <w:tcMar>
              <w:top w:w="80" w:type="dxa"/>
              <w:start w:w="120" w:type="dxa"/>
              <w:bottom w:w="80" w:type="dxa"/>
              <w:end w:w="120" w:type="dxa"/>
            </w:tcMar>
          </w:tcPr>
          <w:p>
            <w:pPr>
              <w:spacing w:after="60"/>
            </w:pPr>
            <w:r>
              <w:rPr>
                <w:rFonts w:ascii="Calibri" w:hAnsi="Calibri"/>
                <w:color w:val="0B2545"/>
                <w:sz w:val="21"/>
              </w:rPr>
              <w:t>August 2, 2026</w:t>
            </w:r>
          </w:p>
        </w:tc>
      </w:tr>
      <w:tr>
        <w:tc>
          <w:tcPr>
            <w:tcW w:type="dxa" w:w="2160"/>
            <w:tcMar>
              <w:top w:w="80" w:type="dxa"/>
              <w:start w:w="120" w:type="dxa"/>
              <w:bottom w:w="80" w:type="dxa"/>
              <w:end w:w="120" w:type="dxa"/>
            </w:tcMar>
          </w:tcPr>
          <w:p>
            <w:pPr>
              <w:spacing w:after="60"/>
            </w:pPr>
            <w:r>
              <w:rPr>
                <w:rFonts w:ascii="Calibri" w:hAnsi="Calibri"/>
                <w:b/>
                <w:color w:val="5B6573"/>
                <w:sz w:val="18"/>
              </w:rPr>
              <w:t>REPOSITORY</w:t>
            </w:r>
          </w:p>
        </w:tc>
        <w:tc>
          <w:tcPr>
            <w:tcW w:type="dxa" w:w="7200"/>
            <w:tcMar>
              <w:top w:w="80" w:type="dxa"/>
              <w:start w:w="120" w:type="dxa"/>
              <w:bottom w:w="80" w:type="dxa"/>
              <w:end w:w="120" w:type="dxa"/>
            </w:tcMar>
          </w:tcPr>
          <w:p>
            <w:pPr>
              <w:spacing w:after="60"/>
            </w:pPr>
            <w:r>
              <w:rPr>
                <w:rFonts w:ascii="Calibri" w:hAnsi="Calibri"/>
                <w:color w:val="0B2545"/>
                <w:sz w:val="21"/>
              </w:rPr>
              <w:t>Greenfield baseline</w:t>
            </w:r>
          </w:p>
        </w:tc>
      </w:tr>
    </w:tbl>
    <w:p>
      <w:pPr>
        <w:spacing w:before="840"/>
        <w:jc w:val="center"/>
      </w:pPr>
      <w:r>
        <w:rPr>
          <w:rFonts w:ascii="Calibri" w:hAnsi="Calibri"/>
          <w:i/>
          <w:color w:val="5B6573"/>
          <w:sz w:val="21"/>
        </w:rPr>
        <w:t>For implementation by Codex and the platform engineering team</w:t>
      </w:r>
    </w:p>
    <w:p>
      <w:r>
        <w:br w:type="page"/>
      </w:r>
    </w:p>
    <w:p>
      <w:pPr>
        <w:pStyle w:val="Heading1"/>
        <w:spacing w:before="0"/>
      </w:pPr>
      <w:r>
        <w:t>Document Map</w:t>
      </w:r>
    </w:p>
    <w:p>
      <w:pPr>
        <w:spacing w:after="240"/>
      </w:pPr>
      <w:r>
        <w:t>Use this map to locate the active work phase, contracts, gates, and verification requirements.</w:t>
      </w:r>
    </w:p>
    <w:p>
      <w:pPr>
        <w:spacing w:after="60"/>
        <w:ind w:left="216" w:hanging="216"/>
      </w:pPr>
      <w:r>
        <w:rPr>
          <w:rFonts w:ascii="Calibri" w:hAnsi="Calibri"/>
          <w:b w:val="0"/>
          <w:color w:val="1F4D78"/>
          <w:sz w:val="21"/>
        </w:rPr>
        <w:t>1. Purpose and How to Use This Document</w:t>
      </w:r>
    </w:p>
    <w:p>
      <w:pPr>
        <w:spacing w:after="60"/>
        <w:ind w:left="216" w:hanging="216"/>
      </w:pPr>
      <w:r>
        <w:rPr>
          <w:rFonts w:ascii="Calibri" w:hAnsi="Calibri"/>
          <w:b w:val="0"/>
          <w:color w:val="1F4D78"/>
          <w:sz w:val="21"/>
        </w:rPr>
        <w:t>2. Fixed Architecture Invariants</w:t>
      </w:r>
    </w:p>
    <w:p>
      <w:pPr>
        <w:spacing w:after="60"/>
        <w:ind w:left="216" w:hanging="216"/>
      </w:pPr>
      <w:r>
        <w:rPr>
          <w:rFonts w:ascii="Calibri" w:hAnsi="Calibri"/>
          <w:b w:val="0"/>
          <w:color w:val="1F4D78"/>
          <w:sz w:val="21"/>
        </w:rPr>
        <w:t>3. Baseline Technology Decisions</w:t>
      </w:r>
    </w:p>
    <w:p>
      <w:pPr>
        <w:spacing w:after="60"/>
        <w:ind w:left="216" w:hanging="216"/>
      </w:pPr>
      <w:r>
        <w:rPr>
          <w:rFonts w:ascii="Calibri" w:hAnsi="Calibri"/>
          <w:b w:val="0"/>
          <w:color w:val="1F4D78"/>
          <w:sz w:val="21"/>
        </w:rPr>
        <w:t>4. Target Repository Layout</w:t>
      </w:r>
    </w:p>
    <w:p>
      <w:pPr>
        <w:spacing w:after="60"/>
        <w:ind w:left="216" w:hanging="216"/>
      </w:pPr>
      <w:r>
        <w:rPr>
          <w:rFonts w:ascii="Calibri" w:hAnsi="Calibri"/>
          <w:b w:val="0"/>
          <w:color w:val="1F4D78"/>
          <w:sz w:val="21"/>
        </w:rPr>
        <w:t>5. Canonical Domain Conventions</w:t>
      </w:r>
    </w:p>
    <w:p>
      <w:pPr>
        <w:spacing w:after="60"/>
        <w:ind w:left="216" w:hanging="216"/>
      </w:pPr>
      <w:r>
        <w:rPr>
          <w:rFonts w:ascii="Calibri" w:hAnsi="Calibri"/>
          <w:b w:val="0"/>
          <w:color w:val="1F4D78"/>
          <w:sz w:val="21"/>
        </w:rPr>
        <w:t>6. Core Runtime Contracts</w:t>
      </w:r>
    </w:p>
    <w:p>
      <w:pPr>
        <w:spacing w:after="60"/>
        <w:ind w:left="216" w:hanging="216"/>
      </w:pPr>
      <w:r>
        <w:rPr>
          <w:rFonts w:ascii="Calibri" w:hAnsi="Calibri"/>
          <w:b w:val="0"/>
          <w:color w:val="1F4D78"/>
          <w:sz w:val="21"/>
        </w:rPr>
        <w:t>7. Authoritative State and Event Architecture</w:t>
      </w:r>
    </w:p>
    <w:p>
      <w:pPr>
        <w:spacing w:after="60"/>
        <w:ind w:left="216" w:hanging="216"/>
      </w:pPr>
      <w:r>
        <w:rPr>
          <w:rFonts w:ascii="Calibri" w:hAnsi="Calibri"/>
          <w:b w:val="0"/>
          <w:color w:val="1F4D78"/>
          <w:sz w:val="21"/>
        </w:rPr>
        <w:t>8. Authority, Policy, Approval, Budget, and Audit</w:t>
      </w:r>
    </w:p>
    <w:p>
      <w:pPr>
        <w:spacing w:after="60"/>
        <w:ind w:left="216" w:hanging="216"/>
      </w:pPr>
      <w:r>
        <w:rPr>
          <w:rFonts w:ascii="Calibri" w:hAnsi="Calibri"/>
          <w:b w:val="0"/>
          <w:color w:val="1F4D78"/>
          <w:sz w:val="21"/>
        </w:rPr>
        <w:t>9. Harness Core</w:t>
      </w:r>
    </w:p>
    <w:p>
      <w:pPr>
        <w:spacing w:after="60"/>
        <w:ind w:left="216" w:hanging="216"/>
      </w:pPr>
      <w:r>
        <w:rPr>
          <w:rFonts w:ascii="Calibri" w:hAnsi="Calibri"/>
          <w:b w:val="0"/>
          <w:color w:val="1F4D78"/>
          <w:sz w:val="21"/>
        </w:rPr>
        <w:t>10. Tier 0 Orchestrator</w:t>
      </w:r>
    </w:p>
    <w:p>
      <w:pPr>
        <w:spacing w:after="60"/>
        <w:ind w:left="216" w:hanging="216"/>
      </w:pPr>
      <w:r>
        <w:rPr>
          <w:rFonts w:ascii="Calibri" w:hAnsi="Calibri"/>
          <w:b w:val="0"/>
          <w:color w:val="1F4D78"/>
          <w:sz w:val="21"/>
        </w:rPr>
        <w:t>11. Tier 1 Specialist Packages</w:t>
      </w:r>
    </w:p>
    <w:p>
      <w:pPr>
        <w:spacing w:after="60"/>
        <w:ind w:left="216" w:hanging="216"/>
      </w:pPr>
      <w:r>
        <w:rPr>
          <w:rFonts w:ascii="Calibri" w:hAnsi="Calibri"/>
          <w:b w:val="0"/>
          <w:color w:val="1F4D78"/>
          <w:sz w:val="21"/>
        </w:rPr>
        <w:t>12. Tier 2 Harnesses and Sandboxes</w:t>
      </w:r>
    </w:p>
    <w:p>
      <w:pPr>
        <w:spacing w:after="60"/>
        <w:ind w:left="216" w:hanging="216"/>
      </w:pPr>
      <w:r>
        <w:rPr>
          <w:rFonts w:ascii="Calibri" w:hAnsi="Calibri"/>
          <w:b w:val="0"/>
          <w:color w:val="1F4D78"/>
          <w:sz w:val="21"/>
        </w:rPr>
        <w:t>13. Backend Adapter Contracts</w:t>
      </w:r>
    </w:p>
    <w:p>
      <w:pPr>
        <w:spacing w:after="60"/>
        <w:ind w:left="216" w:hanging="216"/>
      </w:pPr>
      <w:r>
        <w:rPr>
          <w:rFonts w:ascii="Calibri" w:hAnsi="Calibri"/>
          <w:b w:val="0"/>
          <w:color w:val="1F4D78"/>
          <w:sz w:val="21"/>
        </w:rPr>
        <w:t>14. API and Subscription Surface</w:t>
      </w:r>
    </w:p>
    <w:p>
      <w:pPr>
        <w:spacing w:after="60"/>
        <w:ind w:left="216" w:hanging="216"/>
      </w:pPr>
      <w:r>
        <w:rPr>
          <w:rFonts w:ascii="Calibri" w:hAnsi="Calibri"/>
          <w:b w:val="0"/>
          <w:color w:val="1F4D78"/>
          <w:sz w:val="21"/>
        </w:rPr>
        <w:t>15. Implementation Phases and Work Packages</w:t>
      </w:r>
    </w:p>
    <w:p>
      <w:pPr>
        <w:spacing w:after="60"/>
        <w:ind w:left="216" w:hanging="216"/>
      </w:pPr>
      <w:r>
        <w:rPr>
          <w:rFonts w:ascii="Calibri" w:hAnsi="Calibri"/>
          <w:b w:val="0"/>
          <w:color w:val="1F4D78"/>
          <w:sz w:val="21"/>
        </w:rPr>
        <w:t>16. Testing and Verification Strategy</w:t>
      </w:r>
    </w:p>
    <w:p>
      <w:pPr>
        <w:spacing w:after="60"/>
        <w:ind w:left="216" w:hanging="216"/>
      </w:pPr>
      <w:r>
        <w:rPr>
          <w:rFonts w:ascii="Calibri" w:hAnsi="Calibri"/>
          <w:b w:val="0"/>
          <w:color w:val="1F4D78"/>
          <w:sz w:val="21"/>
        </w:rPr>
        <w:t>17. Observability, SLOs, and Operations</w:t>
      </w:r>
    </w:p>
    <w:p>
      <w:pPr>
        <w:spacing w:after="60"/>
        <w:ind w:left="216" w:hanging="216"/>
      </w:pPr>
      <w:r>
        <w:rPr>
          <w:rFonts w:ascii="Calibri" w:hAnsi="Calibri"/>
          <w:b w:val="0"/>
          <w:color w:val="1F4D78"/>
          <w:sz w:val="21"/>
        </w:rPr>
        <w:t>18. Security and Privacy Checklist</w:t>
      </w:r>
    </w:p>
    <w:p>
      <w:pPr>
        <w:spacing w:after="60"/>
        <w:ind w:left="216" w:hanging="216"/>
      </w:pPr>
      <w:r>
        <w:rPr>
          <w:rFonts w:ascii="Calibri" w:hAnsi="Calibri"/>
          <w:b w:val="0"/>
          <w:color w:val="1F4D78"/>
          <w:sz w:val="21"/>
        </w:rPr>
        <w:t>19. Release and Migration Rules</w:t>
      </w:r>
    </w:p>
    <w:p>
      <w:pPr>
        <w:spacing w:after="60"/>
        <w:ind w:left="216" w:hanging="216"/>
      </w:pPr>
      <w:r>
        <w:rPr>
          <w:rFonts w:ascii="Calibri" w:hAnsi="Calibri"/>
          <w:b w:val="0"/>
          <w:color w:val="1F4D78"/>
          <w:sz w:val="21"/>
        </w:rPr>
        <w:t>20. Reference End-to-End Acceptance Scenario</w:t>
      </w:r>
    </w:p>
    <w:p>
      <w:pPr>
        <w:spacing w:after="60"/>
        <w:ind w:left="216" w:hanging="216"/>
      </w:pPr>
      <w:r>
        <w:rPr>
          <w:rFonts w:ascii="Calibri" w:hAnsi="Calibri"/>
          <w:b w:val="0"/>
          <w:color w:val="1F4D78"/>
          <w:sz w:val="21"/>
        </w:rPr>
        <w:t>21. Decision and Change Control</w:t>
      </w:r>
    </w:p>
    <w:p>
      <w:pPr>
        <w:spacing w:after="60"/>
        <w:ind w:left="216" w:hanging="216"/>
      </w:pPr>
      <w:r>
        <w:rPr>
          <w:rFonts w:ascii="Calibri" w:hAnsi="Calibri"/>
          <w:b w:val="0"/>
          <w:color w:val="1F4D78"/>
          <w:sz w:val="21"/>
        </w:rPr>
        <w:t>22. Official Implementation References</w:t>
      </w:r>
    </w:p>
    <w:p>
      <w:pPr>
        <w:spacing w:after="60"/>
        <w:ind w:left="216" w:hanging="216"/>
      </w:pPr>
      <w:r>
        <w:rPr>
          <w:rFonts w:ascii="Calibri" w:hAnsi="Calibri"/>
          <w:b/>
          <w:color w:val="1F4D78"/>
          <w:sz w:val="21"/>
        </w:rPr>
        <w:t>Appendix A — First Implementation Backlog</w:t>
      </w:r>
    </w:p>
    <w:p>
      <w:pPr>
        <w:spacing w:after="60"/>
        <w:ind w:left="216" w:hanging="216"/>
      </w:pPr>
      <w:r>
        <w:rPr>
          <w:rFonts w:ascii="Calibri" w:hAnsi="Calibri"/>
          <w:b/>
          <w:color w:val="1F4D78"/>
          <w:sz w:val="21"/>
        </w:rPr>
        <w:t>Appendix B — Pull Request Checklist</w:t>
      </w:r>
    </w:p>
    <w:p>
      <w:pPr>
        <w:spacing w:after="60"/>
        <w:ind w:left="216" w:hanging="216"/>
      </w:pPr>
      <w:r>
        <w:rPr>
          <w:rFonts w:ascii="Calibri" w:hAnsi="Calibri"/>
          <w:b/>
          <w:color w:val="1F4D78"/>
          <w:sz w:val="21"/>
        </w:rPr>
        <w:t>Appendix C — Stop Conditions for Codex</w:t>
      </w:r>
    </w:p>
    <w:p>
      <w:r>
        <w:br w:type="page"/>
      </w:r>
    </w:p>
    <w:tbl>
      <w:tblPr>
        <w:tblW w:type="dxa" w:w="9360"/>
        <w:jc w:val="left"/>
        <w:tblLayout w:type="fixed"/>
        <w:tblLook w:firstColumn="1" w:firstRow="1" w:lastColumn="0" w:lastRow="0" w:noHBand="0" w:noVBand="1" w:val="04A0"/>
        <w:tblInd w:w="120" w:type="dxa"/>
        <w:tblBorders>
          <w:top w:val="single" w:sz="6" w:color="B9C7D8"/>
          <w:left w:val="single" w:sz="6" w:color="B9C7D8"/>
          <w:bottom w:val="single" w:sz="6" w:color="B9C7D8"/>
          <w:right w:val="single" w:sz="6" w:color="B9C7D8"/>
          <w:insideH w:val="single" w:sz="6" w:color="B9C7D8"/>
          <w:insideV w:val="single" w:sz="6" w:color="B9C7D8"/>
        </w:tblBorders>
      </w:tblPr>
      <w:tblGrid>
        <w:gridCol w:w="9360"/>
      </w:tblGrid>
      <w:tr>
        <w:tc>
          <w:tcPr>
            <w:tcW w:type="dxa" w:w="9360"/>
            <w:tcMar>
              <w:top w:w="80" w:type="dxa"/>
              <w:start w:w="120" w:type="dxa"/>
              <w:bottom w:w="80" w:type="dxa"/>
              <w:end w:w="120" w:type="dxa"/>
            </w:tcMar>
            <w:shd w:fill="F4F6F9"/>
            <w:vAlign w:val="center"/>
          </w:tcPr>
          <w:p>
            <w:pPr>
              <w:spacing w:after="60"/>
            </w:pPr>
            <w:r>
              <w:rPr>
                <w:rFonts w:ascii="Calibri" w:hAnsi="Calibri"/>
                <w:b/>
                <w:color w:val="2E74B5"/>
                <w:sz w:val="18"/>
              </w:rPr>
              <w:t>IMPLEMENTATION AUTHORITY</w:t>
            </w:r>
          </w:p>
          <w:p>
            <w:pPr>
              <w:spacing w:after="0" w:line="276" w:lineRule="auto"/>
            </w:pPr>
            <w:r>
              <w:rPr>
                <w:rFonts w:ascii="Calibri" w:hAnsi="Calibri"/>
                <w:color w:val="0B2545"/>
                <w:sz w:val="21"/>
              </w:rPr>
              <w:t>Treat this document as the execution playbook. Follow phase gates in order, preserve every invariant, and update the progress ledger and ADRs as implementation proceeds.</w:t>
            </w:r>
          </w:p>
        </w:tc>
      </w:tr>
    </w:tbl>
    <w:p/>
    <w:p>
      <w:pPr>
        <w:pStyle w:val="Heading1"/>
        <w:keepNext w:val="1"/>
      </w:pPr>
      <w:r>
        <w:rPr>
          <w:rFonts w:ascii="Calibri" w:hAnsi="Calibri"/>
          <w:b/>
          <w:color w:val="2E74B5"/>
          <w:sz w:val="32"/>
        </w:rPr>
        <w:t>1. Purpose and How to Use This Document</w:t>
      </w:r>
    </w:p>
    <w:p>
      <w:pPr>
        <w:spacing w:after="120" w:line="300" w:lineRule="auto"/>
      </w:pPr>
      <w:r>
        <w:rPr>
          <w:rFonts w:ascii="Calibri" w:hAnsi="Calibri"/>
          <w:sz w:val="22"/>
        </w:rPr>
        <w:t>This playbook converts the target architecture into a build sequence that an implementation agent can execute. It is not a summary of the architecture. It specifies what to build, where to build it, what dependencies must exist first, how to test each component, and what evidence is required before advancing.</w:t>
      </w:r>
    </w:p>
    <w:p>
      <w:pPr>
        <w:spacing w:after="120" w:line="300" w:lineRule="auto"/>
      </w:pPr>
      <w:r>
        <w:rPr>
          <w:rFonts w:ascii="Calibri" w:hAnsi="Calibri"/>
          <w:sz w:val="22"/>
        </w:rPr>
        <w:t>The platform must provide a durable control plane for agentic ML and data work. Users interact through chat and workspace panels, but the control plane—not the user interface or any agent—owns workflow state, authorization, approvals, cost enforcement, audit, recovery, and artifact lineage.</w:t>
      </w:r>
    </w:p>
    <w:p>
      <w:pPr>
        <w:pStyle w:val="Heading2"/>
        <w:keepNext w:val="1"/>
      </w:pPr>
      <w:r>
        <w:rPr>
          <w:rFonts w:ascii="Calibri" w:hAnsi="Calibri"/>
          <w:b/>
          <w:color w:val="2E74B5"/>
          <w:sz w:val="26"/>
        </w:rPr>
        <w:t>1.1 Codex execution protocol</w:t>
      </w:r>
    </w:p>
    <w:p>
      <w:pPr>
        <w:spacing w:after="120" w:line="300" w:lineRule="auto"/>
      </w:pPr>
      <w:r>
        <w:rPr>
          <w:rFonts w:ascii="Calibri" w:hAnsi="Calibri"/>
          <w:sz w:val="22"/>
        </w:rPr>
        <w:t>For every implementation task, Codex shall:</w:t>
      </w:r>
    </w:p>
    <w:p>
      <w:pPr>
        <w:spacing w:after="80" w:line="300" w:lineRule="auto"/>
        <w:numPr>
          <w:ilvl w:val="0"/>
          <w:numId w:val="12"/>
        </w:numPr>
      </w:pPr>
      <w:r>
        <w:rPr>
          <w:rFonts w:ascii="Calibri" w:hAnsi="Calibri"/>
          <w:sz w:val="22"/>
        </w:rPr>
        <w:t>Read the active phase, prerequisite gates, relevant contracts, and applicable ADRs.</w:t>
      </w:r>
    </w:p>
    <w:p>
      <w:pPr>
        <w:spacing w:after="80" w:line="300" w:lineRule="auto"/>
        <w:numPr>
          <w:ilvl w:val="0"/>
          <w:numId w:val="12"/>
        </w:numPr>
      </w:pPr>
      <w:r>
        <w:rPr>
          <w:rFonts w:ascii="Calibri" w:hAnsi="Calibri"/>
          <w:sz w:val="22"/>
        </w:rPr>
        <w:t>Inspect the repository and preserve unrelated user changes.</w:t>
      </w:r>
    </w:p>
    <w:p>
      <w:pPr>
        <w:spacing w:after="80" w:line="300" w:lineRule="auto"/>
        <w:numPr>
          <w:ilvl w:val="0"/>
          <w:numId w:val="12"/>
        </w:numPr>
      </w:pPr>
      <w:r>
        <w:rPr>
          <w:rFonts w:ascii="Calibri" w:hAnsi="Calibri"/>
          <w:sz w:val="22"/>
        </w:rPr>
        <w:t>State the exact work package being implemented and its acceptance criteria.</w:t>
      </w:r>
    </w:p>
    <w:p>
      <w:pPr>
        <w:spacing w:after="80" w:line="300" w:lineRule="auto"/>
        <w:numPr>
          <w:ilvl w:val="0"/>
          <w:numId w:val="12"/>
        </w:numPr>
      </w:pPr>
      <w:r>
        <w:rPr>
          <w:rFonts w:ascii="Calibri" w:hAnsi="Calibri"/>
          <w:sz w:val="22"/>
        </w:rPr>
        <w:t>Add or update tests before claiming completion.</w:t>
      </w:r>
    </w:p>
    <w:p>
      <w:pPr>
        <w:spacing w:after="80" w:line="300" w:lineRule="auto"/>
        <w:numPr>
          <w:ilvl w:val="0"/>
          <w:numId w:val="12"/>
        </w:numPr>
      </w:pPr>
      <w:r>
        <w:rPr>
          <w:rFonts w:ascii="Calibri" w:hAnsi="Calibri"/>
          <w:sz w:val="22"/>
        </w:rPr>
        <w:t>Run the smallest relevant test suite, then the phase verification suite.</w:t>
      </w:r>
    </w:p>
    <w:p>
      <w:pPr>
        <w:spacing w:after="80" w:line="300" w:lineRule="auto"/>
        <w:numPr>
          <w:ilvl w:val="0"/>
          <w:numId w:val="12"/>
        </w:numPr>
      </w:pPr>
      <w:r>
        <w:rPr>
          <w:rFonts w:ascii="Calibri" w:hAnsi="Calibri"/>
          <w:sz w:val="22"/>
        </w:rPr>
        <w:t xml:space="preserve">Run formatting, linting, type checking, schema compatibility checks, and </w:t>
      </w:r>
      <w:r>
        <w:rPr>
          <w:rFonts w:ascii="Consolas" w:hAnsi="Consolas"/>
          <w:color w:val="1F4D78"/>
          <w:sz w:val="20"/>
        </w:rPr>
        <w:t>git diff --check</w:t>
      </w:r>
      <w:r>
        <w:rPr>
          <w:rFonts w:ascii="Calibri" w:hAnsi="Calibri"/>
          <w:sz w:val="22"/>
        </w:rPr>
        <w:t>.</w:t>
      </w:r>
    </w:p>
    <w:p>
      <w:pPr>
        <w:spacing w:after="80" w:line="300" w:lineRule="auto"/>
        <w:numPr>
          <w:ilvl w:val="0"/>
          <w:numId w:val="12"/>
        </w:numPr>
      </w:pPr>
      <w:r>
        <w:rPr>
          <w:rFonts w:ascii="Calibri" w:hAnsi="Calibri"/>
          <w:sz w:val="22"/>
        </w:rPr>
        <w:t>Produce evidence: changed files, commands executed, test results, migrations, and known limitations.</w:t>
      </w:r>
    </w:p>
    <w:p>
      <w:pPr>
        <w:spacing w:after="80" w:line="300" w:lineRule="auto"/>
        <w:numPr>
          <w:ilvl w:val="0"/>
          <w:numId w:val="12"/>
        </w:numPr>
      </w:pPr>
      <w:r>
        <w:rPr>
          <w:rFonts w:ascii="Calibri" w:hAnsi="Calibri"/>
          <w:sz w:val="22"/>
        </w:rPr>
        <w:t>Update the progress ledger only after evidence passes.</w:t>
      </w:r>
    </w:p>
    <w:p>
      <w:pPr>
        <w:spacing w:after="80" w:line="300" w:lineRule="auto"/>
        <w:numPr>
          <w:ilvl w:val="0"/>
          <w:numId w:val="12"/>
        </w:numPr>
      </w:pPr>
      <w:r>
        <w:rPr>
          <w:rFonts w:ascii="Calibri" w:hAnsi="Calibri"/>
          <w:sz w:val="22"/>
        </w:rPr>
        <w:t>Stop at any human approval gate. Never infer approval from silence.</w:t>
      </w:r>
    </w:p>
    <w:p>
      <w:pPr>
        <w:spacing w:after="80" w:line="300" w:lineRule="auto"/>
        <w:numPr>
          <w:ilvl w:val="0"/>
          <w:numId w:val="12"/>
        </w:numPr>
      </w:pPr>
      <w:r>
        <w:rPr>
          <w:rFonts w:ascii="Calibri" w:hAnsi="Calibri"/>
          <w:sz w:val="22"/>
        </w:rPr>
        <w:t>Create an ADR before introducing a new infrastructure dependency, changing a public contract, or weakening a stated invariant.</w:t>
      </w:r>
    </w:p>
    <w:p>
      <w:pPr>
        <w:pStyle w:val="Heading2"/>
        <w:keepNext w:val="1"/>
      </w:pPr>
      <w:r>
        <w:rPr>
          <w:rFonts w:ascii="Calibri" w:hAnsi="Calibri"/>
          <w:b/>
          <w:color w:val="2E74B5"/>
          <w:sz w:val="26"/>
        </w:rPr>
        <w:t>1.2 Work-package completion record</w:t>
      </w:r>
    </w:p>
    <w:p>
      <w:pPr>
        <w:spacing w:after="120" w:line="300" w:lineRule="auto"/>
      </w:pPr>
      <w:r>
        <w:rPr>
          <w:rFonts w:ascii="Calibri" w:hAnsi="Calibri"/>
          <w:sz w:val="22"/>
        </w:rPr>
        <w:t>Every completed work package must record:</w:t>
      </w:r>
    </w:p>
    <w:p>
      <w:pPr>
        <w:spacing w:after="80" w:line="300" w:lineRule="auto"/>
        <w:numPr>
          <w:ilvl w:val="0"/>
          <w:numId w:val="10"/>
        </w:numPr>
      </w:pPr>
      <w:r>
        <w:rPr>
          <w:rFonts w:ascii="Calibri" w:hAnsi="Calibri"/>
          <w:sz w:val="22"/>
        </w:rPr>
        <w:t>work-package ID and title;</w:t>
      </w:r>
    </w:p>
    <w:p>
      <w:pPr>
        <w:spacing w:after="80" w:line="300" w:lineRule="auto"/>
        <w:numPr>
          <w:ilvl w:val="0"/>
          <w:numId w:val="10"/>
        </w:numPr>
      </w:pPr>
      <w:r>
        <w:rPr>
          <w:rFonts w:ascii="Calibri" w:hAnsi="Calibri"/>
          <w:sz w:val="22"/>
        </w:rPr>
        <w:t>implementation summary;</w:t>
      </w:r>
    </w:p>
    <w:p>
      <w:pPr>
        <w:spacing w:after="80" w:line="300" w:lineRule="auto"/>
        <w:numPr>
          <w:ilvl w:val="0"/>
          <w:numId w:val="10"/>
        </w:numPr>
      </w:pPr>
      <w:r>
        <w:rPr>
          <w:rFonts w:ascii="Calibri" w:hAnsi="Calibri"/>
          <w:sz w:val="22"/>
        </w:rPr>
        <w:t>files and migrations changed;</w:t>
      </w:r>
    </w:p>
    <w:p>
      <w:pPr>
        <w:spacing w:after="80" w:line="300" w:lineRule="auto"/>
        <w:numPr>
          <w:ilvl w:val="0"/>
          <w:numId w:val="10"/>
        </w:numPr>
      </w:pPr>
      <w:r>
        <w:rPr>
          <w:rFonts w:ascii="Calibri" w:hAnsi="Calibri"/>
          <w:sz w:val="22"/>
        </w:rPr>
        <w:t>contract or schema versions affected;</w:t>
      </w:r>
    </w:p>
    <w:p>
      <w:pPr>
        <w:spacing w:after="80" w:line="300" w:lineRule="auto"/>
        <w:numPr>
          <w:ilvl w:val="0"/>
          <w:numId w:val="10"/>
        </w:numPr>
      </w:pPr>
      <w:r>
        <w:rPr>
          <w:rFonts w:ascii="Calibri" w:hAnsi="Calibri"/>
          <w:sz w:val="22"/>
        </w:rPr>
        <w:t>tests and verification commands run;</w:t>
      </w:r>
    </w:p>
    <w:p>
      <w:pPr>
        <w:spacing w:after="80" w:line="300" w:lineRule="auto"/>
        <w:numPr>
          <w:ilvl w:val="0"/>
          <w:numId w:val="10"/>
        </w:numPr>
      </w:pPr>
      <w:r>
        <w:rPr>
          <w:rFonts w:ascii="Calibri" w:hAnsi="Calibri"/>
          <w:sz w:val="22"/>
        </w:rPr>
        <w:t>security and data-handling impact;</w:t>
      </w:r>
    </w:p>
    <w:p>
      <w:pPr>
        <w:spacing w:after="80" w:line="300" w:lineRule="auto"/>
        <w:numPr>
          <w:ilvl w:val="0"/>
          <w:numId w:val="10"/>
        </w:numPr>
      </w:pPr>
      <w:r>
        <w:rPr>
          <w:rFonts w:ascii="Calibri" w:hAnsi="Calibri"/>
          <w:sz w:val="22"/>
        </w:rPr>
        <w:t>operational impact and rollback path;</w:t>
      </w:r>
    </w:p>
    <w:p>
      <w:pPr>
        <w:spacing w:after="80" w:line="300" w:lineRule="auto"/>
        <w:numPr>
          <w:ilvl w:val="0"/>
          <w:numId w:val="10"/>
        </w:numPr>
      </w:pPr>
      <w:r>
        <w:rPr>
          <w:rFonts w:ascii="Calibri" w:hAnsi="Calibri"/>
          <w:sz w:val="22"/>
        </w:rPr>
        <w:t>unresolved risks or follow-up work;</w:t>
      </w:r>
    </w:p>
    <w:p>
      <w:pPr>
        <w:spacing w:after="80" w:line="300" w:lineRule="auto"/>
        <w:numPr>
          <w:ilvl w:val="0"/>
          <w:numId w:val="10"/>
        </w:numPr>
      </w:pPr>
      <w:r>
        <w:rPr>
          <w:rFonts w:ascii="Calibri" w:hAnsi="Calibri"/>
          <w:sz w:val="22"/>
        </w:rPr>
        <w:t>commit or pull-request reference when available.</w:t>
      </w:r>
    </w:p>
    <w:p>
      <w:pPr>
        <w:pStyle w:val="Heading2"/>
        <w:keepNext w:val="1"/>
      </w:pPr>
      <w:r>
        <w:rPr>
          <w:rFonts w:ascii="Calibri" w:hAnsi="Calibri"/>
          <w:b/>
          <w:color w:val="2E74B5"/>
          <w:sz w:val="26"/>
        </w:rPr>
        <w:t>1.3 Progress ledger</w:t>
      </w:r>
    </w:p>
    <w:tbl>
      <w:tblPr>
        <w:tblW w:type="dxa" w:w="9360"/>
        <w:jc w:val="left"/>
        <w:tblLayout w:type="fixed"/>
        <w:tblLook w:firstColumn="1" w:firstRow="1" w:lastColumn="0" w:lastRow="0" w:noHBand="0" w:noVBand="1" w:val="04A0"/>
        <w:tblInd w:w="120" w:type="dxa"/>
        <w:tblBorders>
          <w:top w:val="single" w:sz="4" w:color="C7CDD5"/>
          <w:left w:val="single" w:sz="4" w:color="C7CDD5"/>
          <w:bottom w:val="single" w:sz="4" w:color="C7CDD5"/>
          <w:right w:val="single" w:sz="4" w:color="C7CDD5"/>
          <w:insideH w:val="single" w:sz="4" w:color="C7CDD5"/>
          <w:insideV w:val="single" w:sz="4" w:color="C7CDD5"/>
        </w:tblBorders>
      </w:tblPr>
      <w:tblGrid>
        <w:gridCol w:w="1500"/>
        <w:gridCol w:w="3300"/>
        <w:gridCol w:w="1400"/>
        <w:gridCol w:w="3160"/>
      </w:tblGrid>
      <w:tr>
        <w:trPr>
          <w:tblHeader w:val="true"/>
          <w:cantSplit w:val="true"/>
        </w:trPr>
        <w:tc>
          <w:tcPr>
            <w:tcW w:type="dxa" w:w="1500"/>
            <w:tcMar>
              <w:top w:w="80" w:type="dxa"/>
              <w:start w:w="120" w:type="dxa"/>
              <w:bottom w:w="80" w:type="dxa"/>
              <w:end w:w="120" w:type="dxa"/>
            </w:tcMar>
            <w:vAlign w:val="center"/>
            <w:shd w:fill="E8EEF5"/>
          </w:tcPr>
          <w:p>
            <w:pPr>
              <w:spacing w:before="0" w:after="40" w:line="264" w:lineRule="auto"/>
            </w:pPr>
            <w:r>
              <w:rPr>
                <w:rFonts w:ascii="Calibri" w:hAnsi="Calibri"/>
                <w:b/>
                <w:color w:val="1F4D78"/>
                <w:sz w:val="18"/>
              </w:rPr>
              <w:t>Phase</w:t>
            </w:r>
          </w:p>
        </w:tc>
        <w:tc>
          <w:tcPr>
            <w:tcW w:type="dxa" w:w="3300"/>
            <w:tcMar>
              <w:top w:w="80" w:type="dxa"/>
              <w:start w:w="120" w:type="dxa"/>
              <w:bottom w:w="80" w:type="dxa"/>
              <w:end w:w="120" w:type="dxa"/>
            </w:tcMar>
            <w:vAlign w:val="center"/>
            <w:shd w:fill="E8EEF5"/>
          </w:tcPr>
          <w:p>
            <w:pPr>
              <w:spacing w:before="0" w:after="40" w:line="264" w:lineRule="auto"/>
            </w:pPr>
            <w:r>
              <w:rPr>
                <w:rFonts w:ascii="Calibri" w:hAnsi="Calibri"/>
                <w:b/>
                <w:color w:val="1F4D78"/>
                <w:sz w:val="18"/>
              </w:rPr>
              <w:t>Outcome</w:t>
            </w:r>
          </w:p>
        </w:tc>
        <w:tc>
          <w:tcPr>
            <w:tcW w:type="dxa" w:w="1400"/>
            <w:tcMar>
              <w:top w:w="80" w:type="dxa"/>
              <w:start w:w="120" w:type="dxa"/>
              <w:bottom w:w="80" w:type="dxa"/>
              <w:end w:w="120" w:type="dxa"/>
            </w:tcMar>
            <w:vAlign w:val="center"/>
            <w:shd w:fill="E8EEF5"/>
          </w:tcPr>
          <w:p>
            <w:pPr>
              <w:spacing w:before="0" w:after="40" w:line="264" w:lineRule="auto"/>
            </w:pPr>
            <w:r>
              <w:rPr>
                <w:rFonts w:ascii="Calibri" w:hAnsi="Calibri"/>
                <w:b/>
                <w:color w:val="1F4D78"/>
                <w:sz w:val="18"/>
              </w:rPr>
              <w:t>Status</w:t>
            </w:r>
          </w:p>
        </w:tc>
        <w:tc>
          <w:tcPr>
            <w:tcW w:type="dxa" w:w="3160"/>
            <w:tcMar>
              <w:top w:w="80" w:type="dxa"/>
              <w:start w:w="120" w:type="dxa"/>
              <w:bottom w:w="80" w:type="dxa"/>
              <w:end w:w="120" w:type="dxa"/>
            </w:tcMar>
            <w:vAlign w:val="center"/>
            <w:shd w:fill="E8EEF5"/>
          </w:tcPr>
          <w:p>
            <w:pPr>
              <w:spacing w:before="0" w:after="40" w:line="264" w:lineRule="auto"/>
            </w:pPr>
            <w:r>
              <w:rPr>
                <w:rFonts w:ascii="Calibri" w:hAnsi="Calibri"/>
                <w:b/>
                <w:color w:val="1F4D78"/>
                <w:sz w:val="18"/>
              </w:rPr>
              <w:t>Exit evidence</w:t>
            </w:r>
          </w:p>
        </w:tc>
      </w:tr>
      <w:tr>
        <w:trPr>
          <w:cantSplit w:val="true"/>
        </w:trPr>
        <w:tc>
          <w:tcPr>
            <w:tcW w:type="dxa" w:w="1500"/>
            <w:tcMar>
              <w:top w:w="80" w:type="dxa"/>
              <w:start w:w="120" w:type="dxa"/>
              <w:bottom w:w="80" w:type="dxa"/>
              <w:end w:w="120" w:type="dxa"/>
            </w:tcMar>
            <w:vAlign w:val="center"/>
          </w:tcPr>
          <w:p>
            <w:pPr>
              <w:spacing w:before="0" w:after="40" w:line="264" w:lineRule="auto"/>
            </w:pPr>
            <w:r>
              <w:rPr>
                <w:rFonts w:ascii="Calibri" w:hAnsi="Calibri"/>
                <w:color w:val="0B2545"/>
                <w:sz w:val="18"/>
              </w:rPr>
              <w:t>0</w:t>
            </w:r>
          </w:p>
        </w:tc>
        <w:tc>
          <w:tcPr>
            <w:tcW w:type="dxa" w:w="3300"/>
            <w:tcMar>
              <w:top w:w="80" w:type="dxa"/>
              <w:start w:w="120" w:type="dxa"/>
              <w:bottom w:w="80" w:type="dxa"/>
              <w:end w:w="120" w:type="dxa"/>
            </w:tcMar>
            <w:vAlign w:val="center"/>
          </w:tcPr>
          <w:p>
            <w:pPr>
              <w:spacing w:before="0" w:after="40" w:line="264" w:lineRule="auto"/>
            </w:pPr>
            <w:r>
              <w:rPr>
                <w:rFonts w:ascii="Calibri" w:hAnsi="Calibri"/>
                <w:color w:val="0B2545"/>
                <w:sz w:val="18"/>
              </w:rPr>
              <w:t>Repository bootstrap and architectural decisions</w:t>
            </w:r>
          </w:p>
        </w:tc>
        <w:tc>
          <w:tcPr>
            <w:tcW w:type="dxa" w:w="1400"/>
            <w:tcMar>
              <w:top w:w="80" w:type="dxa"/>
              <w:start w:w="120" w:type="dxa"/>
              <w:bottom w:w="80" w:type="dxa"/>
              <w:end w:w="120" w:type="dxa"/>
            </w:tcMar>
            <w:vAlign w:val="center"/>
          </w:tcPr>
          <w:p>
            <w:pPr>
              <w:spacing w:before="0" w:after="40" w:line="264" w:lineRule="auto"/>
            </w:pPr>
            <w:r>
              <w:rPr>
                <w:rFonts w:ascii="Calibri" w:hAnsi="Calibri"/>
                <w:color w:val="0B2545"/>
                <w:sz w:val="18"/>
              </w:rPr>
              <w:t>Not started</w:t>
            </w:r>
          </w:p>
        </w:tc>
        <w:tc>
          <w:tcPr>
            <w:tcW w:type="dxa" w:w="3160"/>
            <w:tcMar>
              <w:top w:w="80" w:type="dxa"/>
              <w:start w:w="120" w:type="dxa"/>
              <w:bottom w:w="80" w:type="dxa"/>
              <w:end w:w="120" w:type="dxa"/>
            </w:tcMar>
            <w:vAlign w:val="center"/>
          </w:tcPr>
          <w:p>
            <w:pPr>
              <w:spacing w:before="0" w:after="40" w:line="264" w:lineRule="auto"/>
            </w:pPr>
            <w:r>
              <w:rPr>
                <w:rFonts w:ascii="Calibri" w:hAnsi="Calibri"/>
                <w:color w:val="0B2545"/>
                <w:sz w:val="18"/>
              </w:rPr>
              <w:t>Toolchain, CI, ADRs, local dependencies</w:t>
            </w:r>
          </w:p>
        </w:tc>
      </w:tr>
      <w:tr>
        <w:trPr>
          <w:cantSplit w:val="true"/>
        </w:trPr>
        <w:tc>
          <w:tcPr>
            <w:tcW w:type="dxa" w:w="1500"/>
            <w:tcMar>
              <w:top w:w="80" w:type="dxa"/>
              <w:start w:w="120" w:type="dxa"/>
              <w:bottom w:w="80" w:type="dxa"/>
              <w:end w:w="120" w:type="dxa"/>
            </w:tcMar>
            <w:vAlign w:val="center"/>
          </w:tcPr>
          <w:p>
            <w:pPr>
              <w:spacing w:before="0" w:after="40" w:line="264" w:lineRule="auto"/>
            </w:pPr>
            <w:r>
              <w:rPr>
                <w:rFonts w:ascii="Calibri" w:hAnsi="Calibri"/>
                <w:color w:val="0B2545"/>
                <w:sz w:val="18"/>
              </w:rPr>
              <w:t>1</w:t>
            </w:r>
          </w:p>
        </w:tc>
        <w:tc>
          <w:tcPr>
            <w:tcW w:type="dxa" w:w="3300"/>
            <w:tcMar>
              <w:top w:w="80" w:type="dxa"/>
              <w:start w:w="120" w:type="dxa"/>
              <w:bottom w:w="80" w:type="dxa"/>
              <w:end w:w="120" w:type="dxa"/>
            </w:tcMar>
            <w:vAlign w:val="center"/>
          </w:tcPr>
          <w:p>
            <w:pPr>
              <w:spacing w:before="0" w:after="40" w:line="264" w:lineRule="auto"/>
            </w:pPr>
            <w:r>
              <w:rPr>
                <w:rFonts w:ascii="Calibri" w:hAnsi="Calibri"/>
                <w:color w:val="0B2545"/>
                <w:sz w:val="18"/>
              </w:rPr>
              <w:t>Runtime contracts and compatibility tooling</w:t>
            </w:r>
          </w:p>
        </w:tc>
        <w:tc>
          <w:tcPr>
            <w:tcW w:type="dxa" w:w="1400"/>
            <w:tcMar>
              <w:top w:w="80" w:type="dxa"/>
              <w:start w:w="120" w:type="dxa"/>
              <w:bottom w:w="80" w:type="dxa"/>
              <w:end w:w="120" w:type="dxa"/>
            </w:tcMar>
            <w:vAlign w:val="center"/>
          </w:tcPr>
          <w:p>
            <w:pPr>
              <w:spacing w:before="0" w:after="40" w:line="264" w:lineRule="auto"/>
            </w:pPr>
            <w:r>
              <w:rPr>
                <w:rFonts w:ascii="Calibri" w:hAnsi="Calibri"/>
                <w:color w:val="0B2545"/>
                <w:sz w:val="18"/>
              </w:rPr>
              <w:t>Not started</w:t>
            </w:r>
          </w:p>
        </w:tc>
        <w:tc>
          <w:tcPr>
            <w:tcW w:type="dxa" w:w="3160"/>
            <w:tcMar>
              <w:top w:w="80" w:type="dxa"/>
              <w:start w:w="120" w:type="dxa"/>
              <w:bottom w:w="80" w:type="dxa"/>
              <w:end w:w="120" w:type="dxa"/>
            </w:tcMar>
            <w:vAlign w:val="center"/>
          </w:tcPr>
          <w:p>
            <w:pPr>
              <w:spacing w:before="0" w:after="40" w:line="264" w:lineRule="auto"/>
            </w:pPr>
            <w:r>
              <w:rPr>
                <w:rFonts w:ascii="Calibri" w:hAnsi="Calibri"/>
                <w:color w:val="0B2545"/>
                <w:sz w:val="18"/>
              </w:rPr>
              <w:t>Published schemas, contract tests, generated types</w:t>
            </w:r>
          </w:p>
        </w:tc>
      </w:tr>
      <w:tr>
        <w:trPr>
          <w:cantSplit w:val="true"/>
        </w:trPr>
        <w:tc>
          <w:tcPr>
            <w:tcW w:type="dxa" w:w="1500"/>
            <w:tcMar>
              <w:top w:w="80" w:type="dxa"/>
              <w:start w:w="120" w:type="dxa"/>
              <w:bottom w:w="80" w:type="dxa"/>
              <w:end w:w="120" w:type="dxa"/>
            </w:tcMar>
            <w:vAlign w:val="center"/>
          </w:tcPr>
          <w:p>
            <w:pPr>
              <w:spacing w:before="0" w:after="40" w:line="264" w:lineRule="auto"/>
            </w:pPr>
            <w:r>
              <w:rPr>
                <w:rFonts w:ascii="Calibri" w:hAnsi="Calibri"/>
                <w:color w:val="0B2545"/>
                <w:sz w:val="18"/>
              </w:rPr>
              <w:t>2</w:t>
            </w:r>
          </w:p>
        </w:tc>
        <w:tc>
          <w:tcPr>
            <w:tcW w:type="dxa" w:w="3300"/>
            <w:tcMar>
              <w:top w:w="80" w:type="dxa"/>
              <w:start w:w="120" w:type="dxa"/>
              <w:bottom w:w="80" w:type="dxa"/>
              <w:end w:w="120" w:type="dxa"/>
            </w:tcMar>
            <w:vAlign w:val="center"/>
          </w:tcPr>
          <w:p>
            <w:pPr>
              <w:spacing w:before="0" w:after="40" w:line="264" w:lineRule="auto"/>
            </w:pPr>
            <w:r>
              <w:rPr>
                <w:rFonts w:ascii="Calibri" w:hAnsi="Calibri"/>
                <w:color w:val="0B2545"/>
                <w:sz w:val="18"/>
              </w:rPr>
              <w:t>Authoritative state, artifact registry, event log, projections</w:t>
            </w:r>
          </w:p>
        </w:tc>
        <w:tc>
          <w:tcPr>
            <w:tcW w:type="dxa" w:w="1400"/>
            <w:tcMar>
              <w:top w:w="80" w:type="dxa"/>
              <w:start w:w="120" w:type="dxa"/>
              <w:bottom w:w="80" w:type="dxa"/>
              <w:end w:w="120" w:type="dxa"/>
            </w:tcMar>
            <w:vAlign w:val="center"/>
          </w:tcPr>
          <w:p>
            <w:pPr>
              <w:spacing w:before="0" w:after="40" w:line="264" w:lineRule="auto"/>
            </w:pPr>
            <w:r>
              <w:rPr>
                <w:rFonts w:ascii="Calibri" w:hAnsi="Calibri"/>
                <w:color w:val="0B2545"/>
                <w:sz w:val="18"/>
              </w:rPr>
              <w:t>Not started</w:t>
            </w:r>
          </w:p>
        </w:tc>
        <w:tc>
          <w:tcPr>
            <w:tcW w:type="dxa" w:w="3160"/>
            <w:tcMar>
              <w:top w:w="80" w:type="dxa"/>
              <w:start w:w="120" w:type="dxa"/>
              <w:bottom w:w="80" w:type="dxa"/>
              <w:end w:w="120" w:type="dxa"/>
            </w:tcMar>
            <w:vAlign w:val="center"/>
          </w:tcPr>
          <w:p>
            <w:pPr>
              <w:spacing w:before="0" w:after="40" w:line="264" w:lineRule="auto"/>
            </w:pPr>
            <w:r>
              <w:rPr>
                <w:rFonts w:ascii="Calibri" w:hAnsi="Calibri"/>
                <w:color w:val="0B2545"/>
                <w:sz w:val="18"/>
              </w:rPr>
              <w:t>Transactional tests, migrations, replay tests</w:t>
            </w:r>
          </w:p>
        </w:tc>
      </w:tr>
      <w:tr>
        <w:trPr>
          <w:cantSplit w:val="true"/>
        </w:trPr>
        <w:tc>
          <w:tcPr>
            <w:tcW w:type="dxa" w:w="1500"/>
            <w:tcMar>
              <w:top w:w="80" w:type="dxa"/>
              <w:start w:w="120" w:type="dxa"/>
              <w:bottom w:w="80" w:type="dxa"/>
              <w:end w:w="120" w:type="dxa"/>
            </w:tcMar>
            <w:vAlign w:val="center"/>
          </w:tcPr>
          <w:p>
            <w:pPr>
              <w:spacing w:before="0" w:after="40" w:line="264" w:lineRule="auto"/>
            </w:pPr>
            <w:r>
              <w:rPr>
                <w:rFonts w:ascii="Calibri" w:hAnsi="Calibri"/>
                <w:color w:val="0B2545"/>
                <w:sz w:val="18"/>
              </w:rPr>
              <w:t>3</w:t>
            </w:r>
          </w:p>
        </w:tc>
        <w:tc>
          <w:tcPr>
            <w:tcW w:type="dxa" w:w="3300"/>
            <w:tcMar>
              <w:top w:w="80" w:type="dxa"/>
              <w:start w:w="120" w:type="dxa"/>
              <w:bottom w:w="80" w:type="dxa"/>
              <w:end w:w="120" w:type="dxa"/>
            </w:tcMar>
            <w:vAlign w:val="center"/>
          </w:tcPr>
          <w:p>
            <w:pPr>
              <w:spacing w:before="0" w:after="40" w:line="264" w:lineRule="auto"/>
            </w:pPr>
            <w:r>
              <w:rPr>
                <w:rFonts w:ascii="Calibri" w:hAnsi="Calibri"/>
                <w:color w:val="0B2545"/>
                <w:sz w:val="18"/>
              </w:rPr>
              <w:t>Authority, policy, approvals, budgets, audit</w:t>
            </w:r>
          </w:p>
        </w:tc>
        <w:tc>
          <w:tcPr>
            <w:tcW w:type="dxa" w:w="1400"/>
            <w:tcMar>
              <w:top w:w="80" w:type="dxa"/>
              <w:start w:w="120" w:type="dxa"/>
              <w:bottom w:w="80" w:type="dxa"/>
              <w:end w:w="120" w:type="dxa"/>
            </w:tcMar>
            <w:vAlign w:val="center"/>
          </w:tcPr>
          <w:p>
            <w:pPr>
              <w:spacing w:before="0" w:after="40" w:line="264" w:lineRule="auto"/>
            </w:pPr>
            <w:r>
              <w:rPr>
                <w:rFonts w:ascii="Calibri" w:hAnsi="Calibri"/>
                <w:color w:val="0B2545"/>
                <w:sz w:val="18"/>
              </w:rPr>
              <w:t>Not started</w:t>
            </w:r>
          </w:p>
        </w:tc>
        <w:tc>
          <w:tcPr>
            <w:tcW w:type="dxa" w:w="3160"/>
            <w:tcMar>
              <w:top w:w="80" w:type="dxa"/>
              <w:start w:w="120" w:type="dxa"/>
              <w:bottom w:w="80" w:type="dxa"/>
              <w:end w:w="120" w:type="dxa"/>
            </w:tcMar>
            <w:vAlign w:val="center"/>
          </w:tcPr>
          <w:p>
            <w:pPr>
              <w:spacing w:before="0" w:after="40" w:line="264" w:lineRule="auto"/>
            </w:pPr>
            <w:r>
              <w:rPr>
                <w:rFonts w:ascii="Calibri" w:hAnsi="Calibri"/>
                <w:color w:val="0B2545"/>
                <w:sz w:val="18"/>
              </w:rPr>
              <w:t>Deny-by-default tests and approval invalidation tests</w:t>
            </w:r>
          </w:p>
        </w:tc>
      </w:tr>
      <w:tr>
        <w:trPr>
          <w:cantSplit w:val="true"/>
        </w:trPr>
        <w:tc>
          <w:tcPr>
            <w:tcW w:type="dxa" w:w="1500"/>
            <w:tcMar>
              <w:top w:w="80" w:type="dxa"/>
              <w:start w:w="120" w:type="dxa"/>
              <w:bottom w:w="80" w:type="dxa"/>
              <w:end w:w="120" w:type="dxa"/>
            </w:tcMar>
            <w:vAlign w:val="center"/>
          </w:tcPr>
          <w:p>
            <w:pPr>
              <w:spacing w:before="0" w:after="40" w:line="264" w:lineRule="auto"/>
            </w:pPr>
            <w:r>
              <w:rPr>
                <w:rFonts w:ascii="Calibri" w:hAnsi="Calibri"/>
                <w:color w:val="0B2545"/>
                <w:sz w:val="18"/>
              </w:rPr>
              <w:t>4</w:t>
            </w:r>
          </w:p>
        </w:tc>
        <w:tc>
          <w:tcPr>
            <w:tcW w:type="dxa" w:w="3300"/>
            <w:tcMar>
              <w:top w:w="80" w:type="dxa"/>
              <w:start w:w="120" w:type="dxa"/>
              <w:bottom w:w="80" w:type="dxa"/>
              <w:end w:w="120" w:type="dxa"/>
            </w:tcMar>
            <w:vAlign w:val="center"/>
          </w:tcPr>
          <w:p>
            <w:pPr>
              <w:spacing w:before="0" w:after="40" w:line="264" w:lineRule="auto"/>
            </w:pPr>
            <w:r>
              <w:rPr>
                <w:rFonts w:ascii="Calibri" w:hAnsi="Calibri"/>
                <w:color w:val="0B2545"/>
                <w:sz w:val="18"/>
              </w:rPr>
              <w:t>Harness core and invocation enforcement</w:t>
            </w:r>
          </w:p>
        </w:tc>
        <w:tc>
          <w:tcPr>
            <w:tcW w:type="dxa" w:w="1400"/>
            <w:tcMar>
              <w:top w:w="80" w:type="dxa"/>
              <w:start w:w="120" w:type="dxa"/>
              <w:bottom w:w="80" w:type="dxa"/>
              <w:end w:w="120" w:type="dxa"/>
            </w:tcMar>
            <w:vAlign w:val="center"/>
          </w:tcPr>
          <w:p>
            <w:pPr>
              <w:spacing w:before="0" w:after="40" w:line="264" w:lineRule="auto"/>
            </w:pPr>
            <w:r>
              <w:rPr>
                <w:rFonts w:ascii="Calibri" w:hAnsi="Calibri"/>
                <w:color w:val="0B2545"/>
                <w:sz w:val="18"/>
              </w:rPr>
              <w:t>Not started</w:t>
            </w:r>
          </w:p>
        </w:tc>
        <w:tc>
          <w:tcPr>
            <w:tcW w:type="dxa" w:w="3160"/>
            <w:tcMar>
              <w:top w:w="80" w:type="dxa"/>
              <w:start w:w="120" w:type="dxa"/>
              <w:bottom w:w="80" w:type="dxa"/>
              <w:end w:w="120" w:type="dxa"/>
            </w:tcMar>
            <w:vAlign w:val="center"/>
          </w:tcPr>
          <w:p>
            <w:pPr>
              <w:spacing w:before="0" w:after="40" w:line="264" w:lineRule="auto"/>
            </w:pPr>
            <w:r>
              <w:rPr>
                <w:rFonts w:ascii="Calibri" w:hAnsi="Calibri"/>
                <w:color w:val="0B2545"/>
                <w:sz w:val="18"/>
              </w:rPr>
              <w:t>Tier tests, report validation, adapter contract tests</w:t>
            </w:r>
          </w:p>
        </w:tc>
      </w:tr>
      <w:tr>
        <w:trPr>
          <w:cantSplit w:val="true"/>
        </w:trPr>
        <w:tc>
          <w:tcPr>
            <w:tcW w:type="dxa" w:w="1500"/>
            <w:tcMar>
              <w:top w:w="80" w:type="dxa"/>
              <w:start w:w="120" w:type="dxa"/>
              <w:bottom w:w="80" w:type="dxa"/>
              <w:end w:w="120" w:type="dxa"/>
            </w:tcMar>
            <w:vAlign w:val="center"/>
          </w:tcPr>
          <w:p>
            <w:pPr>
              <w:spacing w:before="0" w:after="40" w:line="264" w:lineRule="auto"/>
            </w:pPr>
            <w:r>
              <w:rPr>
                <w:rFonts w:ascii="Calibri" w:hAnsi="Calibri"/>
                <w:color w:val="0B2545"/>
                <w:sz w:val="18"/>
              </w:rPr>
              <w:t>5</w:t>
            </w:r>
          </w:p>
        </w:tc>
        <w:tc>
          <w:tcPr>
            <w:tcW w:type="dxa" w:w="3300"/>
            <w:tcMar>
              <w:top w:w="80" w:type="dxa"/>
              <w:start w:w="120" w:type="dxa"/>
              <w:bottom w:w="80" w:type="dxa"/>
              <w:end w:w="120" w:type="dxa"/>
            </w:tcMar>
            <w:vAlign w:val="center"/>
          </w:tcPr>
          <w:p>
            <w:pPr>
              <w:spacing w:before="0" w:after="40" w:line="264" w:lineRule="auto"/>
            </w:pPr>
            <w:r>
              <w:rPr>
                <w:rFonts w:ascii="Calibri" w:hAnsi="Calibri"/>
                <w:color w:val="0B2545"/>
                <w:sz w:val="18"/>
              </w:rPr>
              <w:t>Local data-to-training vertical slice</w:t>
            </w:r>
          </w:p>
        </w:tc>
        <w:tc>
          <w:tcPr>
            <w:tcW w:type="dxa" w:w="1400"/>
            <w:tcMar>
              <w:top w:w="80" w:type="dxa"/>
              <w:start w:w="120" w:type="dxa"/>
              <w:bottom w:w="80" w:type="dxa"/>
              <w:end w:w="120" w:type="dxa"/>
            </w:tcMar>
            <w:vAlign w:val="center"/>
          </w:tcPr>
          <w:p>
            <w:pPr>
              <w:spacing w:before="0" w:after="40" w:line="264" w:lineRule="auto"/>
            </w:pPr>
            <w:r>
              <w:rPr>
                <w:rFonts w:ascii="Calibri" w:hAnsi="Calibri"/>
                <w:color w:val="0B2545"/>
                <w:sz w:val="18"/>
              </w:rPr>
              <w:t>Not started</w:t>
            </w:r>
          </w:p>
        </w:tc>
        <w:tc>
          <w:tcPr>
            <w:tcW w:type="dxa" w:w="3160"/>
            <w:tcMar>
              <w:top w:w="80" w:type="dxa"/>
              <w:start w:w="120" w:type="dxa"/>
              <w:bottom w:w="80" w:type="dxa"/>
              <w:end w:w="120" w:type="dxa"/>
            </w:tcMar>
            <w:vAlign w:val="center"/>
          </w:tcPr>
          <w:p>
            <w:pPr>
              <w:spacing w:before="0" w:after="40" w:line="264" w:lineRule="auto"/>
            </w:pPr>
            <w:r>
              <w:rPr>
                <w:rFonts w:ascii="Calibri" w:hAnsi="Calibri"/>
                <w:color w:val="0B2545"/>
                <w:sz w:val="18"/>
              </w:rPr>
              <w:t>End-to-end local smoke workflow</w:t>
            </w:r>
          </w:p>
        </w:tc>
      </w:tr>
      <w:tr>
        <w:trPr>
          <w:cantSplit w:val="true"/>
        </w:trPr>
        <w:tc>
          <w:tcPr>
            <w:tcW w:type="dxa" w:w="1500"/>
            <w:tcMar>
              <w:top w:w="80" w:type="dxa"/>
              <w:start w:w="120" w:type="dxa"/>
              <w:bottom w:w="80" w:type="dxa"/>
              <w:end w:w="120" w:type="dxa"/>
            </w:tcMar>
            <w:vAlign w:val="center"/>
          </w:tcPr>
          <w:p>
            <w:pPr>
              <w:spacing w:before="0" w:after="40" w:line="264" w:lineRule="auto"/>
            </w:pPr>
            <w:r>
              <w:rPr>
                <w:rFonts w:ascii="Calibri" w:hAnsi="Calibri"/>
                <w:color w:val="0B2545"/>
                <w:sz w:val="18"/>
              </w:rPr>
              <w:t>6</w:t>
            </w:r>
          </w:p>
        </w:tc>
        <w:tc>
          <w:tcPr>
            <w:tcW w:type="dxa" w:w="3300"/>
            <w:tcMar>
              <w:top w:w="80" w:type="dxa"/>
              <w:start w:w="120" w:type="dxa"/>
              <w:bottom w:w="80" w:type="dxa"/>
              <w:end w:w="120" w:type="dxa"/>
            </w:tcMar>
            <w:vAlign w:val="center"/>
          </w:tcPr>
          <w:p>
            <w:pPr>
              <w:spacing w:before="0" w:after="40" w:line="264" w:lineRule="auto"/>
            </w:pPr>
            <w:r>
              <w:rPr>
                <w:rFonts w:ascii="Calibri" w:hAnsi="Calibri"/>
                <w:color w:val="0B2545"/>
                <w:sz w:val="18"/>
              </w:rPr>
              <w:t>Durable execution, recovery, retries, cancellation, streaming</w:t>
            </w:r>
          </w:p>
        </w:tc>
        <w:tc>
          <w:tcPr>
            <w:tcW w:type="dxa" w:w="1400"/>
            <w:tcMar>
              <w:top w:w="80" w:type="dxa"/>
              <w:start w:w="120" w:type="dxa"/>
              <w:bottom w:w="80" w:type="dxa"/>
              <w:end w:w="120" w:type="dxa"/>
            </w:tcMar>
            <w:vAlign w:val="center"/>
          </w:tcPr>
          <w:p>
            <w:pPr>
              <w:spacing w:before="0" w:after="40" w:line="264" w:lineRule="auto"/>
            </w:pPr>
            <w:r>
              <w:rPr>
                <w:rFonts w:ascii="Calibri" w:hAnsi="Calibri"/>
                <w:color w:val="0B2545"/>
                <w:sz w:val="18"/>
              </w:rPr>
              <w:t>Not started</w:t>
            </w:r>
          </w:p>
        </w:tc>
        <w:tc>
          <w:tcPr>
            <w:tcW w:type="dxa" w:w="3160"/>
            <w:tcMar>
              <w:top w:w="80" w:type="dxa"/>
              <w:start w:w="120" w:type="dxa"/>
              <w:bottom w:w="80" w:type="dxa"/>
              <w:end w:w="120" w:type="dxa"/>
            </w:tcMar>
            <w:vAlign w:val="center"/>
          </w:tcPr>
          <w:p>
            <w:pPr>
              <w:spacing w:before="0" w:after="40" w:line="264" w:lineRule="auto"/>
            </w:pPr>
            <w:r>
              <w:rPr>
                <w:rFonts w:ascii="Calibri" w:hAnsi="Calibri"/>
                <w:color w:val="0B2545"/>
                <w:sz w:val="18"/>
              </w:rPr>
              <w:t>Crash/restart and reconnect tests</w:t>
            </w:r>
          </w:p>
        </w:tc>
      </w:tr>
      <w:tr>
        <w:trPr>
          <w:cantSplit w:val="true"/>
        </w:trPr>
        <w:tc>
          <w:tcPr>
            <w:tcW w:type="dxa" w:w="1500"/>
            <w:tcMar>
              <w:top w:w="80" w:type="dxa"/>
              <w:start w:w="120" w:type="dxa"/>
              <w:bottom w:w="80" w:type="dxa"/>
              <w:end w:w="120" w:type="dxa"/>
            </w:tcMar>
            <w:vAlign w:val="center"/>
          </w:tcPr>
          <w:p>
            <w:pPr>
              <w:spacing w:before="0" w:after="40" w:line="264" w:lineRule="auto"/>
            </w:pPr>
            <w:r>
              <w:rPr>
                <w:rFonts w:ascii="Calibri" w:hAnsi="Calibri"/>
                <w:color w:val="0B2545"/>
                <w:sz w:val="18"/>
              </w:rPr>
              <w:t>7</w:t>
            </w:r>
          </w:p>
        </w:tc>
        <w:tc>
          <w:tcPr>
            <w:tcW w:type="dxa" w:w="3300"/>
            <w:tcMar>
              <w:top w:w="80" w:type="dxa"/>
              <w:start w:w="120" w:type="dxa"/>
              <w:bottom w:w="80" w:type="dxa"/>
              <w:end w:w="120" w:type="dxa"/>
            </w:tcMar>
            <w:vAlign w:val="center"/>
          </w:tcPr>
          <w:p>
            <w:pPr>
              <w:spacing w:before="0" w:after="40" w:line="264" w:lineRule="auto"/>
            </w:pPr>
            <w:r>
              <w:rPr>
                <w:rFonts w:ascii="Calibri" w:hAnsi="Calibri"/>
                <w:color w:val="0B2545"/>
                <w:sz w:val="18"/>
              </w:rPr>
              <w:t>Hosted resource plane and distributed workers</w:t>
            </w:r>
          </w:p>
        </w:tc>
        <w:tc>
          <w:tcPr>
            <w:tcW w:type="dxa" w:w="1400"/>
            <w:tcMar>
              <w:top w:w="80" w:type="dxa"/>
              <w:start w:w="120" w:type="dxa"/>
              <w:bottom w:w="80" w:type="dxa"/>
              <w:end w:w="120" w:type="dxa"/>
            </w:tcMar>
            <w:vAlign w:val="center"/>
          </w:tcPr>
          <w:p>
            <w:pPr>
              <w:spacing w:before="0" w:after="40" w:line="264" w:lineRule="auto"/>
            </w:pPr>
            <w:r>
              <w:rPr>
                <w:rFonts w:ascii="Calibri" w:hAnsi="Calibri"/>
                <w:color w:val="0B2545"/>
                <w:sz w:val="18"/>
              </w:rPr>
              <w:t>Not started</w:t>
            </w:r>
          </w:p>
        </w:tc>
        <w:tc>
          <w:tcPr>
            <w:tcW w:type="dxa" w:w="3160"/>
            <w:tcMar>
              <w:top w:w="80" w:type="dxa"/>
              <w:start w:w="120" w:type="dxa"/>
              <w:bottom w:w="80" w:type="dxa"/>
              <w:end w:w="120" w:type="dxa"/>
            </w:tcMar>
            <w:vAlign w:val="center"/>
          </w:tcPr>
          <w:p>
            <w:pPr>
              <w:spacing w:before="0" w:after="40" w:line="264" w:lineRule="auto"/>
            </w:pPr>
            <w:r>
              <w:rPr>
                <w:rFonts w:ascii="Calibri" w:hAnsi="Calibri"/>
                <w:color w:val="0B2545"/>
                <w:sz w:val="18"/>
              </w:rPr>
              <w:t>Cloud adapter and workload isolation tests</w:t>
            </w:r>
          </w:p>
        </w:tc>
      </w:tr>
      <w:tr>
        <w:trPr>
          <w:cantSplit w:val="true"/>
        </w:trPr>
        <w:tc>
          <w:tcPr>
            <w:tcW w:type="dxa" w:w="1500"/>
            <w:tcMar>
              <w:top w:w="80" w:type="dxa"/>
              <w:start w:w="120" w:type="dxa"/>
              <w:bottom w:w="80" w:type="dxa"/>
              <w:end w:w="120" w:type="dxa"/>
            </w:tcMar>
            <w:vAlign w:val="center"/>
          </w:tcPr>
          <w:p>
            <w:pPr>
              <w:spacing w:before="0" w:after="40" w:line="264" w:lineRule="auto"/>
            </w:pPr>
            <w:r>
              <w:rPr>
                <w:rFonts w:ascii="Calibri" w:hAnsi="Calibri"/>
                <w:color w:val="0B2545"/>
                <w:sz w:val="18"/>
              </w:rPr>
              <w:t>8</w:t>
            </w:r>
          </w:p>
        </w:tc>
        <w:tc>
          <w:tcPr>
            <w:tcW w:type="dxa" w:w="3300"/>
            <w:tcMar>
              <w:top w:w="80" w:type="dxa"/>
              <w:start w:w="120" w:type="dxa"/>
              <w:bottom w:w="80" w:type="dxa"/>
              <w:end w:w="120" w:type="dxa"/>
            </w:tcMar>
            <w:vAlign w:val="center"/>
          </w:tcPr>
          <w:p>
            <w:pPr>
              <w:spacing w:before="0" w:after="40" w:line="264" w:lineRule="auto"/>
            </w:pPr>
            <w:r>
              <w:rPr>
                <w:rFonts w:ascii="Calibri" w:hAnsi="Calibri"/>
                <w:color w:val="0B2545"/>
                <w:sz w:val="18"/>
              </w:rPr>
              <w:t>MLOps, evaluation, registry, deployment, rollback</w:t>
            </w:r>
          </w:p>
        </w:tc>
        <w:tc>
          <w:tcPr>
            <w:tcW w:type="dxa" w:w="1400"/>
            <w:tcMar>
              <w:top w:w="80" w:type="dxa"/>
              <w:start w:w="120" w:type="dxa"/>
              <w:bottom w:w="80" w:type="dxa"/>
              <w:end w:w="120" w:type="dxa"/>
            </w:tcMar>
            <w:vAlign w:val="center"/>
          </w:tcPr>
          <w:p>
            <w:pPr>
              <w:spacing w:before="0" w:after="40" w:line="264" w:lineRule="auto"/>
            </w:pPr>
            <w:r>
              <w:rPr>
                <w:rFonts w:ascii="Calibri" w:hAnsi="Calibri"/>
                <w:color w:val="0B2545"/>
                <w:sz w:val="18"/>
              </w:rPr>
              <w:t>Not started</w:t>
            </w:r>
          </w:p>
        </w:tc>
        <w:tc>
          <w:tcPr>
            <w:tcW w:type="dxa" w:w="3160"/>
            <w:tcMar>
              <w:top w:w="80" w:type="dxa"/>
              <w:start w:w="120" w:type="dxa"/>
              <w:bottom w:w="80" w:type="dxa"/>
              <w:end w:w="120" w:type="dxa"/>
            </w:tcMar>
            <w:vAlign w:val="center"/>
          </w:tcPr>
          <w:p>
            <w:pPr>
              <w:spacing w:before="0" w:after="40" w:line="264" w:lineRule="auto"/>
            </w:pPr>
            <w:r>
              <w:rPr>
                <w:rFonts w:ascii="Calibri" w:hAnsi="Calibri"/>
                <w:color w:val="0B2545"/>
                <w:sz w:val="18"/>
              </w:rPr>
              <w:t>Candidate-to-canary end-to-end test</w:t>
            </w:r>
          </w:p>
        </w:tc>
      </w:tr>
      <w:tr>
        <w:trPr>
          <w:cantSplit w:val="true"/>
        </w:trPr>
        <w:tc>
          <w:tcPr>
            <w:tcW w:type="dxa" w:w="1500"/>
            <w:tcMar>
              <w:top w:w="80" w:type="dxa"/>
              <w:start w:w="120" w:type="dxa"/>
              <w:bottom w:w="80" w:type="dxa"/>
              <w:end w:w="120" w:type="dxa"/>
            </w:tcMar>
            <w:vAlign w:val="center"/>
          </w:tcPr>
          <w:p>
            <w:pPr>
              <w:spacing w:before="0" w:after="40" w:line="264" w:lineRule="auto"/>
            </w:pPr>
            <w:r>
              <w:rPr>
                <w:rFonts w:ascii="Calibri" w:hAnsi="Calibri"/>
                <w:color w:val="0B2545"/>
                <w:sz w:val="18"/>
              </w:rPr>
              <w:t>9</w:t>
            </w:r>
          </w:p>
        </w:tc>
        <w:tc>
          <w:tcPr>
            <w:tcW w:type="dxa" w:w="3300"/>
            <w:tcMar>
              <w:top w:w="80" w:type="dxa"/>
              <w:start w:w="120" w:type="dxa"/>
              <w:bottom w:w="80" w:type="dxa"/>
              <w:end w:w="120" w:type="dxa"/>
            </w:tcMar>
            <w:vAlign w:val="center"/>
          </w:tcPr>
          <w:p>
            <w:pPr>
              <w:spacing w:before="0" w:after="40" w:line="264" w:lineRule="auto"/>
            </w:pPr>
            <w:r>
              <w:rPr>
                <w:rFonts w:ascii="Calibri" w:hAnsi="Calibri"/>
                <w:color w:val="0B2545"/>
                <w:sz w:val="18"/>
              </w:rPr>
              <w:t>Governance and connector publication</w:t>
            </w:r>
          </w:p>
        </w:tc>
        <w:tc>
          <w:tcPr>
            <w:tcW w:type="dxa" w:w="1400"/>
            <w:tcMar>
              <w:top w:w="80" w:type="dxa"/>
              <w:start w:w="120" w:type="dxa"/>
              <w:bottom w:w="80" w:type="dxa"/>
              <w:end w:w="120" w:type="dxa"/>
            </w:tcMar>
            <w:vAlign w:val="center"/>
          </w:tcPr>
          <w:p>
            <w:pPr>
              <w:spacing w:before="0" w:after="40" w:line="264" w:lineRule="auto"/>
            </w:pPr>
            <w:r>
              <w:rPr>
                <w:rFonts w:ascii="Calibri" w:hAnsi="Calibri"/>
                <w:color w:val="0B2545"/>
                <w:sz w:val="18"/>
              </w:rPr>
              <w:t>Not started</w:t>
            </w:r>
          </w:p>
        </w:tc>
        <w:tc>
          <w:tcPr>
            <w:tcW w:type="dxa" w:w="3160"/>
            <w:tcMar>
              <w:top w:w="80" w:type="dxa"/>
              <w:start w:w="120" w:type="dxa"/>
              <w:bottom w:w="80" w:type="dxa"/>
              <w:end w:w="120" w:type="dxa"/>
            </w:tcMar>
            <w:vAlign w:val="center"/>
          </w:tcPr>
          <w:p>
            <w:pPr>
              <w:spacing w:before="0" w:after="40" w:line="264" w:lineRule="auto"/>
            </w:pPr>
            <w:r>
              <w:rPr>
                <w:rFonts w:ascii="Calibri" w:hAnsi="Calibri"/>
                <w:color w:val="0B2545"/>
                <w:sz w:val="18"/>
              </w:rPr>
              <w:t>Scope, secret, sandbox, and approval tests</w:t>
            </w:r>
          </w:p>
        </w:tc>
      </w:tr>
      <w:tr>
        <w:trPr>
          <w:cantSplit w:val="true"/>
        </w:trPr>
        <w:tc>
          <w:tcPr>
            <w:tcW w:type="dxa" w:w="1500"/>
            <w:tcMar>
              <w:top w:w="80" w:type="dxa"/>
              <w:start w:w="120" w:type="dxa"/>
              <w:bottom w:w="80" w:type="dxa"/>
              <w:end w:w="120" w:type="dxa"/>
            </w:tcMar>
            <w:vAlign w:val="center"/>
          </w:tcPr>
          <w:p>
            <w:pPr>
              <w:spacing w:before="0" w:after="40" w:line="264" w:lineRule="auto"/>
            </w:pPr>
            <w:r>
              <w:rPr>
                <w:rFonts w:ascii="Calibri" w:hAnsi="Calibri"/>
                <w:color w:val="0B2545"/>
                <w:sz w:val="18"/>
              </w:rPr>
              <w:t>10</w:t>
            </w:r>
          </w:p>
        </w:tc>
        <w:tc>
          <w:tcPr>
            <w:tcW w:type="dxa" w:w="3300"/>
            <w:tcMar>
              <w:top w:w="80" w:type="dxa"/>
              <w:start w:w="120" w:type="dxa"/>
              <w:bottom w:w="80" w:type="dxa"/>
              <w:end w:w="120" w:type="dxa"/>
            </w:tcMar>
            <w:vAlign w:val="center"/>
          </w:tcPr>
          <w:p>
            <w:pPr>
              <w:spacing w:before="0" w:after="40" w:line="264" w:lineRule="auto"/>
            </w:pPr>
            <w:r>
              <w:rPr>
                <w:rFonts w:ascii="Calibri" w:hAnsi="Calibri"/>
                <w:color w:val="0B2545"/>
                <w:sz w:val="18"/>
              </w:rPr>
              <w:t>Product shell and real-time projections</w:t>
            </w:r>
          </w:p>
        </w:tc>
        <w:tc>
          <w:tcPr>
            <w:tcW w:type="dxa" w:w="1400"/>
            <w:tcMar>
              <w:top w:w="80" w:type="dxa"/>
              <w:start w:w="120" w:type="dxa"/>
              <w:bottom w:w="80" w:type="dxa"/>
              <w:end w:w="120" w:type="dxa"/>
            </w:tcMar>
            <w:vAlign w:val="center"/>
          </w:tcPr>
          <w:p>
            <w:pPr>
              <w:spacing w:before="0" w:after="40" w:line="264" w:lineRule="auto"/>
            </w:pPr>
            <w:r>
              <w:rPr>
                <w:rFonts w:ascii="Calibri" w:hAnsi="Calibri"/>
                <w:color w:val="0B2545"/>
                <w:sz w:val="18"/>
              </w:rPr>
              <w:t>Not started</w:t>
            </w:r>
          </w:p>
        </w:tc>
        <w:tc>
          <w:tcPr>
            <w:tcW w:type="dxa" w:w="3160"/>
            <w:tcMar>
              <w:top w:w="80" w:type="dxa"/>
              <w:start w:w="120" w:type="dxa"/>
              <w:bottom w:w="80" w:type="dxa"/>
              <w:end w:w="120" w:type="dxa"/>
            </w:tcMar>
            <w:vAlign w:val="center"/>
          </w:tcPr>
          <w:p>
            <w:pPr>
              <w:spacing w:before="0" w:after="40" w:line="264" w:lineRule="auto"/>
            </w:pPr>
            <w:r>
              <w:rPr>
                <w:rFonts w:ascii="Calibri" w:hAnsi="Calibri"/>
                <w:color w:val="0B2545"/>
                <w:sz w:val="18"/>
              </w:rPr>
              <w:t>UI workflow tests and reconnect behavior</w:t>
            </w:r>
          </w:p>
        </w:tc>
      </w:tr>
      <w:tr>
        <w:trPr>
          <w:cantSplit w:val="true"/>
        </w:trPr>
        <w:tc>
          <w:tcPr>
            <w:tcW w:type="dxa" w:w="1500"/>
            <w:tcMar>
              <w:top w:w="80" w:type="dxa"/>
              <w:start w:w="120" w:type="dxa"/>
              <w:bottom w:w="80" w:type="dxa"/>
              <w:end w:w="120" w:type="dxa"/>
            </w:tcMar>
            <w:vAlign w:val="center"/>
          </w:tcPr>
          <w:p>
            <w:pPr>
              <w:spacing w:before="0" w:after="40" w:line="264" w:lineRule="auto"/>
            </w:pPr>
            <w:r>
              <w:rPr>
                <w:rFonts w:ascii="Calibri" w:hAnsi="Calibri"/>
                <w:color w:val="0B2545"/>
                <w:sz w:val="18"/>
              </w:rPr>
              <w:t>11</w:t>
            </w:r>
          </w:p>
        </w:tc>
        <w:tc>
          <w:tcPr>
            <w:tcW w:type="dxa" w:w="3300"/>
            <w:tcMar>
              <w:top w:w="80" w:type="dxa"/>
              <w:start w:w="120" w:type="dxa"/>
              <w:bottom w:w="80" w:type="dxa"/>
              <w:end w:w="120" w:type="dxa"/>
            </w:tcMar>
            <w:vAlign w:val="center"/>
          </w:tcPr>
          <w:p>
            <w:pPr>
              <w:spacing w:before="0" w:after="40" w:line="264" w:lineRule="auto"/>
            </w:pPr>
            <w:r>
              <w:rPr>
                <w:rFonts w:ascii="Calibri" w:hAnsi="Calibri"/>
                <w:color w:val="0B2545"/>
                <w:sz w:val="18"/>
              </w:rPr>
              <w:t>Production hardening and launch readiness</w:t>
            </w:r>
          </w:p>
        </w:tc>
        <w:tc>
          <w:tcPr>
            <w:tcW w:type="dxa" w:w="1400"/>
            <w:tcMar>
              <w:top w:w="80" w:type="dxa"/>
              <w:start w:w="120" w:type="dxa"/>
              <w:bottom w:w="80" w:type="dxa"/>
              <w:end w:w="120" w:type="dxa"/>
            </w:tcMar>
            <w:vAlign w:val="center"/>
          </w:tcPr>
          <w:p>
            <w:pPr>
              <w:spacing w:before="0" w:after="40" w:line="264" w:lineRule="auto"/>
            </w:pPr>
            <w:r>
              <w:rPr>
                <w:rFonts w:ascii="Calibri" w:hAnsi="Calibri"/>
                <w:color w:val="0B2545"/>
                <w:sz w:val="18"/>
              </w:rPr>
              <w:t>Not started</w:t>
            </w:r>
          </w:p>
        </w:tc>
        <w:tc>
          <w:tcPr>
            <w:tcW w:type="dxa" w:w="3160"/>
            <w:tcMar>
              <w:top w:w="80" w:type="dxa"/>
              <w:start w:w="120" w:type="dxa"/>
              <w:bottom w:w="80" w:type="dxa"/>
              <w:end w:w="120" w:type="dxa"/>
            </w:tcMar>
            <w:vAlign w:val="center"/>
          </w:tcPr>
          <w:p>
            <w:pPr>
              <w:spacing w:before="0" w:after="40" w:line="264" w:lineRule="auto"/>
            </w:pPr>
            <w:r>
              <w:rPr>
                <w:rFonts w:ascii="Calibri" w:hAnsi="Calibri"/>
                <w:color w:val="0B2545"/>
                <w:sz w:val="18"/>
              </w:rPr>
              <w:t>SLO, security, DR, load, and operations sign-off</w:t>
            </w:r>
          </w:p>
        </w:tc>
      </w:tr>
    </w:tbl>
    <w:p>
      <w:pPr>
        <w:spacing w:after="0"/>
      </w:pPr>
    </w:p>
    <w:p>
      <w:pPr>
        <w:spacing w:after="120" w:line="300" w:lineRule="auto"/>
      </w:pPr>
      <w:r>
        <w:rPr>
          <w:rFonts w:ascii="Calibri" w:hAnsi="Calibri"/>
          <w:sz w:val="22"/>
        </w:rPr>
        <w:t xml:space="preserve">Statuses are limited to </w:t>
      </w:r>
      <w:r>
        <w:rPr>
          <w:rFonts w:ascii="Consolas" w:hAnsi="Consolas"/>
          <w:color w:val="1F4D78"/>
          <w:sz w:val="20"/>
        </w:rPr>
        <w:t>Not started</w:t>
      </w:r>
      <w:r>
        <w:rPr>
          <w:rFonts w:ascii="Calibri" w:hAnsi="Calibri"/>
          <w:sz w:val="22"/>
        </w:rPr>
        <w:t xml:space="preserve">, </w:t>
      </w:r>
      <w:r>
        <w:rPr>
          <w:rFonts w:ascii="Consolas" w:hAnsi="Consolas"/>
          <w:color w:val="1F4D78"/>
          <w:sz w:val="20"/>
        </w:rPr>
        <w:t>In progress</w:t>
      </w:r>
      <w:r>
        <w:rPr>
          <w:rFonts w:ascii="Calibri" w:hAnsi="Calibri"/>
          <w:sz w:val="22"/>
        </w:rPr>
        <w:t xml:space="preserve">, </w:t>
      </w:r>
      <w:r>
        <w:rPr>
          <w:rFonts w:ascii="Consolas" w:hAnsi="Consolas"/>
          <w:color w:val="1F4D78"/>
          <w:sz w:val="20"/>
        </w:rPr>
        <w:t>Blocked</w:t>
      </w:r>
      <w:r>
        <w:rPr>
          <w:rFonts w:ascii="Calibri" w:hAnsi="Calibri"/>
          <w:sz w:val="22"/>
        </w:rPr>
        <w:t xml:space="preserve">, </w:t>
      </w:r>
      <w:r>
        <w:rPr>
          <w:rFonts w:ascii="Consolas" w:hAnsi="Consolas"/>
          <w:color w:val="1F4D78"/>
          <w:sz w:val="20"/>
        </w:rPr>
        <w:t>In review</w:t>
      </w:r>
      <w:r>
        <w:rPr>
          <w:rFonts w:ascii="Calibri" w:hAnsi="Calibri"/>
          <w:sz w:val="22"/>
        </w:rPr>
        <w:t xml:space="preserve">, and </w:t>
      </w:r>
      <w:r>
        <w:rPr>
          <w:rFonts w:ascii="Consolas" w:hAnsi="Consolas"/>
          <w:color w:val="1F4D78"/>
          <w:sz w:val="20"/>
        </w:rPr>
        <w:t>Complete</w:t>
      </w:r>
      <w:r>
        <w:rPr>
          <w:rFonts w:ascii="Calibri" w:hAnsi="Calibri"/>
          <w:sz w:val="22"/>
        </w:rPr>
        <w:t>.</w:t>
      </w:r>
    </w:p>
    <w:p>
      <w:pPr>
        <w:pStyle w:val="Heading1"/>
        <w:keepNext w:val="1"/>
      </w:pPr>
      <w:r>
        <w:rPr>
          <w:rFonts w:ascii="Calibri" w:hAnsi="Calibri"/>
          <w:b/>
          <w:color w:val="2E74B5"/>
          <w:sz w:val="32"/>
        </w:rPr>
        <w:t>2. Fixed Architecture Invariants</w:t>
      </w:r>
    </w:p>
    <w:p>
      <w:pPr>
        <w:spacing w:after="120" w:line="300" w:lineRule="auto"/>
      </w:pPr>
      <w:r>
        <w:rPr>
          <w:rFonts w:ascii="Calibri" w:hAnsi="Calibri"/>
          <w:sz w:val="22"/>
        </w:rPr>
        <w:t>These invariants are acceptance criteria for every phase and must be enforced in code, not only in prompts or documentation.</w:t>
      </w:r>
    </w:p>
    <w:p>
      <w:pPr>
        <w:spacing w:after="80" w:line="300" w:lineRule="auto"/>
        <w:numPr>
          <w:ilvl w:val="0"/>
          <w:numId w:val="13"/>
        </w:numPr>
      </w:pPr>
      <w:r>
        <w:rPr>
          <w:rFonts w:ascii="Calibri" w:hAnsi="Calibri"/>
          <w:sz w:val="22"/>
        </w:rPr>
        <w:t>Tier 0 may invoke only Tier 1.</w:t>
      </w:r>
    </w:p>
    <w:p>
      <w:pPr>
        <w:spacing w:after="80" w:line="300" w:lineRule="auto"/>
        <w:numPr>
          <w:ilvl w:val="0"/>
          <w:numId w:val="13"/>
        </w:numPr>
      </w:pPr>
      <w:r>
        <w:rPr>
          <w:rFonts w:ascii="Calibri" w:hAnsi="Calibri"/>
          <w:sz w:val="22"/>
        </w:rPr>
        <w:t>Tier 1 may invoke only Tier 2.</w:t>
      </w:r>
    </w:p>
    <w:p>
      <w:pPr>
        <w:spacing w:after="80" w:line="300" w:lineRule="auto"/>
        <w:numPr>
          <w:ilvl w:val="0"/>
          <w:numId w:val="13"/>
        </w:numPr>
      </w:pPr>
      <w:r>
        <w:rPr>
          <w:rFonts w:ascii="Calibri" w:hAnsi="Calibri"/>
          <w:sz w:val="22"/>
        </w:rPr>
        <w:t>Tier 2 may not invoke agents.</w:t>
      </w:r>
    </w:p>
    <w:p>
      <w:pPr>
        <w:spacing w:after="80" w:line="300" w:lineRule="auto"/>
        <w:numPr>
          <w:ilvl w:val="0"/>
          <w:numId w:val="13"/>
        </w:numPr>
      </w:pPr>
      <w:r>
        <w:rPr>
          <w:rFonts w:ascii="Calibri" w:hAnsi="Calibri"/>
          <w:sz w:val="22"/>
        </w:rPr>
        <w:t>Only the Cluster specialist may allocate compute.</w:t>
      </w:r>
    </w:p>
    <w:p>
      <w:pPr>
        <w:spacing w:after="80" w:line="300" w:lineRule="auto"/>
        <w:numPr>
          <w:ilvl w:val="0"/>
          <w:numId w:val="13"/>
        </w:numPr>
      </w:pPr>
      <w:r>
        <w:rPr>
          <w:rFonts w:ascii="Calibri" w:hAnsi="Calibri"/>
          <w:sz w:val="22"/>
        </w:rPr>
        <w:t>Only Governance may issue policy decisions.</w:t>
      </w:r>
    </w:p>
    <w:p>
      <w:pPr>
        <w:spacing w:after="80" w:line="300" w:lineRule="auto"/>
        <w:numPr>
          <w:ilvl w:val="0"/>
          <w:numId w:val="13"/>
        </w:numPr>
      </w:pPr>
      <w:r>
        <w:rPr>
          <w:rFonts w:ascii="Calibri" w:hAnsi="Calibri"/>
          <w:sz w:val="22"/>
        </w:rPr>
        <w:t>Only FinOps may reserve or reconcile budget.</w:t>
      </w:r>
    </w:p>
    <w:p>
      <w:pPr>
        <w:spacing w:after="80" w:line="300" w:lineRule="auto"/>
        <w:numPr>
          <w:ilvl w:val="0"/>
          <w:numId w:val="13"/>
        </w:numPr>
      </w:pPr>
      <w:r>
        <w:rPr>
          <w:rFonts w:ascii="Calibri" w:hAnsi="Calibri"/>
          <w:sz w:val="22"/>
        </w:rPr>
        <w:t>Only Deployment may alter serving traffic.</w:t>
      </w:r>
    </w:p>
    <w:p>
      <w:pPr>
        <w:spacing w:after="80" w:line="300" w:lineRule="auto"/>
        <w:numPr>
          <w:ilvl w:val="0"/>
          <w:numId w:val="13"/>
        </w:numPr>
      </w:pPr>
      <w:r>
        <w:rPr>
          <w:rFonts w:ascii="Calibri" w:hAnsi="Calibri"/>
          <w:sz w:val="22"/>
        </w:rPr>
        <w:t>Only deterministic registry services publish approved connectors or models.</w:t>
      </w:r>
    </w:p>
    <w:p>
      <w:pPr>
        <w:spacing w:after="80" w:line="300" w:lineRule="auto"/>
        <w:numPr>
          <w:ilvl w:val="0"/>
          <w:numId w:val="13"/>
        </w:numPr>
      </w:pPr>
      <w:r>
        <w:rPr>
          <w:rFonts w:ascii="Calibri" w:hAnsi="Calibri"/>
          <w:sz w:val="22"/>
        </w:rPr>
        <w:t>Production credentials never enter agent context, logs, artifacts, reports, or model messages.</w:t>
      </w:r>
    </w:p>
    <w:p>
      <w:pPr>
        <w:spacing w:after="80" w:line="300" w:lineRule="auto"/>
        <w:numPr>
          <w:ilvl w:val="0"/>
          <w:numId w:val="13"/>
        </w:numPr>
      </w:pPr>
      <w:r>
        <w:rPr>
          <w:rFonts w:ascii="Calibri" w:hAnsi="Calibri"/>
          <w:sz w:val="22"/>
        </w:rPr>
        <w:t>Every consequential action emits an immutable audit event.</w:t>
      </w:r>
    </w:p>
    <w:p>
      <w:pPr>
        <w:spacing w:after="80" w:line="300" w:lineRule="auto"/>
        <w:numPr>
          <w:ilvl w:val="0"/>
          <w:numId w:val="13"/>
        </w:numPr>
      </w:pPr>
      <w:r>
        <w:rPr>
          <w:rFonts w:ascii="Calibri" w:hAnsi="Calibri"/>
          <w:sz w:val="22"/>
        </w:rPr>
        <w:t>Published artifacts are versioned and immutable; changes create new versions.</w:t>
      </w:r>
    </w:p>
    <w:p>
      <w:pPr>
        <w:spacing w:after="80" w:line="300" w:lineRule="auto"/>
        <w:numPr>
          <w:ilvl w:val="0"/>
          <w:numId w:val="13"/>
        </w:numPr>
      </w:pPr>
      <w:r>
        <w:rPr>
          <w:rFonts w:ascii="Calibri" w:hAnsi="Calibri"/>
          <w:sz w:val="22"/>
        </w:rPr>
        <w:t>Human-authored artifact versions take precedence over agent-authored versions.</w:t>
      </w:r>
    </w:p>
    <w:p>
      <w:pPr>
        <w:spacing w:after="80" w:line="300" w:lineRule="auto"/>
        <w:numPr>
          <w:ilvl w:val="0"/>
          <w:numId w:val="13"/>
        </w:numPr>
      </w:pPr>
      <w:r>
        <w:rPr>
          <w:rFonts w:ascii="Calibri" w:hAnsi="Calibri"/>
          <w:sz w:val="22"/>
        </w:rPr>
        <w:t>Every invocation has explicit authority, cost, time, resource, context, and retry limits.</w:t>
      </w:r>
    </w:p>
    <w:p>
      <w:pPr>
        <w:spacing w:after="80" w:line="300" w:lineRule="auto"/>
        <w:numPr>
          <w:ilvl w:val="0"/>
          <w:numId w:val="13"/>
        </w:numPr>
      </w:pPr>
      <w:r>
        <w:rPr>
          <w:rFonts w:ascii="Calibri" w:hAnsi="Calibri"/>
          <w:sz w:val="22"/>
        </w:rPr>
        <w:t>Every agent output is parsed and validated before acceptance.</w:t>
      </w:r>
    </w:p>
    <w:p>
      <w:pPr>
        <w:spacing w:after="80" w:line="300" w:lineRule="auto"/>
        <w:numPr>
          <w:ilvl w:val="0"/>
          <w:numId w:val="13"/>
        </w:numPr>
      </w:pPr>
      <w:r>
        <w:rPr>
          <w:rFonts w:ascii="Calibri" w:hAnsi="Calibri"/>
          <w:sz w:val="22"/>
        </w:rPr>
        <w:t>Tier 2 success means mechanical acceptance criteria passed; it does not validate parent strategy.</w:t>
      </w:r>
    </w:p>
    <w:p>
      <w:pPr>
        <w:spacing w:after="80" w:line="300" w:lineRule="auto"/>
        <w:numPr>
          <w:ilvl w:val="0"/>
          <w:numId w:val="13"/>
        </w:numPr>
      </w:pPr>
      <w:r>
        <w:rPr>
          <w:rFonts w:ascii="Calibri" w:hAnsi="Calibri"/>
          <w:sz w:val="22"/>
        </w:rPr>
        <w:t>Approval binds to an exact action digest covering artifact versions, scopes, targets, and cost.</w:t>
      </w:r>
    </w:p>
    <w:p>
      <w:pPr>
        <w:spacing w:after="80" w:line="300" w:lineRule="auto"/>
        <w:numPr>
          <w:ilvl w:val="0"/>
          <w:numId w:val="13"/>
        </w:numPr>
      </w:pPr>
      <w:r>
        <w:rPr>
          <w:rFonts w:ascii="Calibri" w:hAnsi="Calibri"/>
          <w:sz w:val="22"/>
        </w:rPr>
        <w:t>Frontend panels contain no independent orchestration, ML, security, or cost policy.</w:t>
      </w:r>
    </w:p>
    <w:p>
      <w:pPr>
        <w:spacing w:after="80" w:line="300" w:lineRule="auto"/>
        <w:numPr>
          <w:ilvl w:val="0"/>
          <w:numId w:val="13"/>
        </w:numPr>
      </w:pPr>
      <w:r>
        <w:rPr>
          <w:rFonts w:ascii="Calibri" w:hAnsi="Calibri"/>
          <w:sz w:val="22"/>
        </w:rPr>
        <w:t>Local and hosted deployments implement the same public contracts.</w:t>
      </w:r>
    </w:p>
    <w:p>
      <w:pPr>
        <w:spacing w:after="80" w:line="300" w:lineRule="auto"/>
        <w:numPr>
          <w:ilvl w:val="0"/>
          <w:numId w:val="13"/>
        </w:numPr>
      </w:pPr>
      <w:r>
        <w:rPr>
          <w:rFonts w:ascii="Calibri" w:hAnsi="Calibri"/>
          <w:sz w:val="22"/>
        </w:rPr>
        <w:t>Tier 2 uses no LLM when deterministic execution is sufficient.</w:t>
      </w:r>
    </w:p>
    <w:p>
      <w:pPr>
        <w:spacing w:after="80" w:line="300" w:lineRule="auto"/>
        <w:numPr>
          <w:ilvl w:val="0"/>
          <w:numId w:val="13"/>
        </w:numPr>
      </w:pPr>
      <w:r>
        <w:rPr>
          <w:rFonts w:ascii="Calibri" w:hAnsi="Calibri"/>
          <w:sz w:val="22"/>
        </w:rPr>
        <w:t>Cline-specific APIs remain behind the Cline runtime adapter.</w:t>
      </w:r>
    </w:p>
    <w:p>
      <w:pPr>
        <w:pStyle w:val="Heading2"/>
        <w:keepNext w:val="1"/>
      </w:pPr>
      <w:r>
        <w:rPr>
          <w:rFonts w:ascii="Calibri" w:hAnsi="Calibri"/>
          <w:b/>
          <w:color w:val="2E74B5"/>
          <w:sz w:val="26"/>
        </w:rPr>
        <w:t>2.1 Automated invariant suite</w:t>
      </w:r>
    </w:p>
    <w:p>
      <w:pPr>
        <w:spacing w:after="120" w:line="300" w:lineRule="auto"/>
      </w:pPr>
      <w:r>
        <w:rPr>
          <w:rFonts w:ascii="Calibri" w:hAnsi="Calibri"/>
          <w:sz w:val="22"/>
        </w:rPr>
        <w:t xml:space="preserve">Create </w:t>
      </w:r>
      <w:r>
        <w:rPr>
          <w:rFonts w:ascii="Consolas" w:hAnsi="Consolas"/>
          <w:color w:val="1F4D78"/>
          <w:sz w:val="20"/>
        </w:rPr>
        <w:t>packages/testkit/src/invariants/</w:t>
      </w:r>
      <w:r>
        <w:rPr>
          <w:rFonts w:ascii="Calibri" w:hAnsi="Calibri"/>
          <w:sz w:val="22"/>
        </w:rPr>
        <w:t xml:space="preserve"> during Phase 1. Every invariant receives at least one positive test and one negative test. The suite must run in CI against local implementations and hosted adapters. A change that causes an invariant test to fail is release-blocking.</w:t>
      </w:r>
    </w:p>
    <w:p>
      <w:pPr>
        <w:pStyle w:val="Heading1"/>
        <w:keepNext w:val="1"/>
      </w:pPr>
      <w:r>
        <w:rPr>
          <w:rFonts w:ascii="Calibri" w:hAnsi="Calibri"/>
          <w:b/>
          <w:color w:val="2E74B5"/>
          <w:sz w:val="32"/>
        </w:rPr>
        <w:t>3. Baseline Technology Decisions</w:t>
      </w:r>
    </w:p>
    <w:p>
      <w:pPr>
        <w:spacing w:after="120" w:line="300" w:lineRule="auto"/>
      </w:pPr>
      <w:r>
        <w:rPr>
          <w:rFonts w:ascii="Calibri" w:hAnsi="Calibri"/>
          <w:sz w:val="22"/>
        </w:rPr>
        <w:t>The repository is greenfield. Use the following defaults to make the plan executable. Exact dependency versions are selected and pinned in Phase 0 after compatibility spikes; do not hard-code versions in this document.</w:t>
      </w:r>
    </w:p>
    <w:tbl>
      <w:tblPr>
        <w:tblW w:type="dxa" w:w="9360"/>
        <w:jc w:val="left"/>
        <w:tblLayout w:type="fixed"/>
        <w:tblLook w:firstColumn="1" w:firstRow="1" w:lastColumn="0" w:lastRow="0" w:noHBand="0" w:noVBand="1" w:val="04A0"/>
        <w:tblInd w:w="120" w:type="dxa"/>
        <w:tblBorders>
          <w:top w:val="single" w:sz="4" w:color="C7CDD5"/>
          <w:left w:val="single" w:sz="4" w:color="C7CDD5"/>
          <w:bottom w:val="single" w:sz="4" w:color="C7CDD5"/>
          <w:right w:val="single" w:sz="4" w:color="C7CDD5"/>
          <w:insideH w:val="single" w:sz="4" w:color="C7CDD5"/>
          <w:insideV w:val="single" w:sz="4" w:color="C7CDD5"/>
        </w:tblBorders>
      </w:tblPr>
      <w:tblGrid>
        <w:gridCol w:w="2600"/>
        <w:gridCol w:w="1800"/>
        <w:gridCol w:w="4960"/>
      </w:tblGrid>
      <w:tr>
        <w:trPr>
          <w:tblHeader w:val="true"/>
          <w:cantSplit w:val="true"/>
        </w:trPr>
        <w:tc>
          <w:tcPr>
            <w:tcW w:type="dxa" w:w="2600"/>
            <w:tcMar>
              <w:top w:w="80" w:type="dxa"/>
              <w:start w:w="120" w:type="dxa"/>
              <w:bottom w:w="80" w:type="dxa"/>
              <w:end w:w="120" w:type="dxa"/>
            </w:tcMar>
            <w:vAlign w:val="center"/>
            <w:shd w:fill="E8EEF5"/>
          </w:tcPr>
          <w:p>
            <w:pPr>
              <w:spacing w:before="0" w:after="40" w:line="264" w:lineRule="auto"/>
            </w:pPr>
            <w:r>
              <w:rPr>
                <w:rFonts w:ascii="Calibri" w:hAnsi="Calibri"/>
                <w:b/>
                <w:color w:val="1F4D78"/>
                <w:sz w:val="18"/>
              </w:rPr>
              <w:t>Concern</w:t>
            </w:r>
          </w:p>
        </w:tc>
        <w:tc>
          <w:tcPr>
            <w:tcW w:type="dxa" w:w="1800"/>
            <w:tcMar>
              <w:top w:w="80" w:type="dxa"/>
              <w:start w:w="120" w:type="dxa"/>
              <w:bottom w:w="80" w:type="dxa"/>
              <w:end w:w="120" w:type="dxa"/>
            </w:tcMar>
            <w:vAlign w:val="center"/>
            <w:shd w:fill="E8EEF5"/>
          </w:tcPr>
          <w:p>
            <w:pPr>
              <w:spacing w:before="0" w:after="40" w:line="264" w:lineRule="auto"/>
            </w:pPr>
            <w:r>
              <w:rPr>
                <w:rFonts w:ascii="Calibri" w:hAnsi="Calibri"/>
                <w:b/>
                <w:color w:val="1F4D78"/>
                <w:sz w:val="18"/>
              </w:rPr>
              <w:t>Default</w:t>
            </w:r>
          </w:p>
        </w:tc>
        <w:tc>
          <w:tcPr>
            <w:tcW w:type="dxa" w:w="4960"/>
            <w:tcMar>
              <w:top w:w="80" w:type="dxa"/>
              <w:start w:w="120" w:type="dxa"/>
              <w:bottom w:w="80" w:type="dxa"/>
              <w:end w:w="120" w:type="dxa"/>
            </w:tcMar>
            <w:vAlign w:val="center"/>
            <w:shd w:fill="E8EEF5"/>
          </w:tcPr>
          <w:p>
            <w:pPr>
              <w:spacing w:before="0" w:after="40" w:line="264" w:lineRule="auto"/>
            </w:pPr>
            <w:r>
              <w:rPr>
                <w:rFonts w:ascii="Calibri" w:hAnsi="Calibri"/>
                <w:b/>
                <w:color w:val="1F4D78"/>
                <w:sz w:val="18"/>
              </w:rPr>
              <w:t>Boundary and rationale</w:t>
            </w:r>
          </w:p>
        </w:tc>
      </w:tr>
      <w:tr>
        <w:trPr>
          <w:cantSplit w:val="true"/>
        </w:trPr>
        <w:tc>
          <w:tcPr>
            <w:tcW w:type="dxa" w:w="2600"/>
            <w:tcMar>
              <w:top w:w="80" w:type="dxa"/>
              <w:start w:w="120" w:type="dxa"/>
              <w:bottom w:w="80" w:type="dxa"/>
              <w:end w:w="120" w:type="dxa"/>
            </w:tcMar>
            <w:vAlign w:val="center"/>
          </w:tcPr>
          <w:p>
            <w:pPr>
              <w:spacing w:before="0" w:after="40" w:line="264" w:lineRule="auto"/>
            </w:pPr>
            <w:r>
              <w:rPr>
                <w:rFonts w:ascii="Calibri" w:hAnsi="Calibri"/>
                <w:color w:val="0B2545"/>
                <w:sz w:val="18"/>
              </w:rPr>
              <w:t>Primary language</w:t>
            </w:r>
          </w:p>
        </w:tc>
        <w:tc>
          <w:tcPr>
            <w:tcW w:type="dxa" w:w="1800"/>
            <w:tcMar>
              <w:top w:w="80" w:type="dxa"/>
              <w:start w:w="120" w:type="dxa"/>
              <w:bottom w:w="80" w:type="dxa"/>
              <w:end w:w="120" w:type="dxa"/>
            </w:tcMar>
            <w:vAlign w:val="center"/>
          </w:tcPr>
          <w:p>
            <w:pPr>
              <w:spacing w:before="0" w:after="40" w:line="264" w:lineRule="auto"/>
            </w:pPr>
            <w:r>
              <w:rPr>
                <w:rFonts w:ascii="Calibri" w:hAnsi="Calibri"/>
                <w:color w:val="0B2545"/>
                <w:sz w:val="18"/>
              </w:rPr>
              <w:t>TypeScript on the current supported Node.js LTS</w:t>
            </w:r>
          </w:p>
        </w:tc>
        <w:tc>
          <w:tcPr>
            <w:tcW w:type="dxa" w:w="4960"/>
            <w:tcMar>
              <w:top w:w="80" w:type="dxa"/>
              <w:start w:w="120" w:type="dxa"/>
              <w:bottom w:w="80" w:type="dxa"/>
              <w:end w:w="120" w:type="dxa"/>
            </w:tcMar>
            <w:vAlign w:val="center"/>
          </w:tcPr>
          <w:p>
            <w:pPr>
              <w:spacing w:before="0" w:after="40" w:line="264" w:lineRule="auto"/>
            </w:pPr>
            <w:r>
              <w:rPr>
                <w:rFonts w:ascii="Calibri" w:hAnsi="Calibri"/>
                <w:color w:val="0B2545"/>
                <w:sz w:val="18"/>
              </w:rPr>
              <w:t>Shared contracts across API, workers, harnesses, and web client</w:t>
            </w:r>
          </w:p>
        </w:tc>
      </w:tr>
      <w:tr>
        <w:trPr>
          <w:cantSplit w:val="true"/>
        </w:trPr>
        <w:tc>
          <w:tcPr>
            <w:tcW w:type="dxa" w:w="2600"/>
            <w:tcMar>
              <w:top w:w="80" w:type="dxa"/>
              <w:start w:w="120" w:type="dxa"/>
              <w:bottom w:w="80" w:type="dxa"/>
              <w:end w:w="120" w:type="dxa"/>
            </w:tcMar>
            <w:vAlign w:val="center"/>
          </w:tcPr>
          <w:p>
            <w:pPr>
              <w:spacing w:before="0" w:after="40" w:line="264" w:lineRule="auto"/>
            </w:pPr>
            <w:r>
              <w:rPr>
                <w:rFonts w:ascii="Calibri" w:hAnsi="Calibri"/>
                <w:color w:val="0B2545"/>
                <w:sz w:val="18"/>
              </w:rPr>
              <w:t>Monorepo</w:t>
            </w:r>
          </w:p>
        </w:tc>
        <w:tc>
          <w:tcPr>
            <w:tcW w:type="dxa" w:w="1800"/>
            <w:tcMar>
              <w:top w:w="80" w:type="dxa"/>
              <w:start w:w="120" w:type="dxa"/>
              <w:bottom w:w="80" w:type="dxa"/>
              <w:end w:w="120" w:type="dxa"/>
            </w:tcMar>
            <w:vAlign w:val="center"/>
          </w:tcPr>
          <w:p>
            <w:pPr>
              <w:spacing w:before="0" w:after="40" w:line="264" w:lineRule="auto"/>
            </w:pPr>
            <w:r>
              <w:rPr>
                <w:rFonts w:ascii="Calibri" w:hAnsi="Calibri"/>
                <w:color w:val="0B2545"/>
                <w:sz w:val="18"/>
              </w:rPr>
              <w:t>pnpm workspaces with Turborepo</w:t>
            </w:r>
          </w:p>
        </w:tc>
        <w:tc>
          <w:tcPr>
            <w:tcW w:type="dxa" w:w="4960"/>
            <w:tcMar>
              <w:top w:w="80" w:type="dxa"/>
              <w:start w:w="120" w:type="dxa"/>
              <w:bottom w:w="80" w:type="dxa"/>
              <w:end w:w="120" w:type="dxa"/>
            </w:tcMar>
            <w:vAlign w:val="center"/>
          </w:tcPr>
          <w:p>
            <w:pPr>
              <w:spacing w:before="0" w:after="40" w:line="264" w:lineRule="auto"/>
            </w:pPr>
            <w:r>
              <w:rPr>
                <w:rFonts w:ascii="Calibri" w:hAnsi="Calibri"/>
                <w:color w:val="0B2545"/>
                <w:sz w:val="18"/>
              </w:rPr>
              <w:t>Deterministic dependency graph and task orchestration</w:t>
            </w:r>
          </w:p>
        </w:tc>
      </w:tr>
      <w:tr>
        <w:trPr>
          <w:cantSplit w:val="true"/>
        </w:trPr>
        <w:tc>
          <w:tcPr>
            <w:tcW w:type="dxa" w:w="2600"/>
            <w:tcMar>
              <w:top w:w="80" w:type="dxa"/>
              <w:start w:w="120" w:type="dxa"/>
              <w:bottom w:w="80" w:type="dxa"/>
              <w:end w:w="120" w:type="dxa"/>
            </w:tcMar>
            <w:vAlign w:val="center"/>
          </w:tcPr>
          <w:p>
            <w:pPr>
              <w:spacing w:before="0" w:after="40" w:line="264" w:lineRule="auto"/>
            </w:pPr>
            <w:r>
              <w:rPr>
                <w:rFonts w:ascii="Calibri" w:hAnsi="Calibri"/>
                <w:color w:val="0B2545"/>
                <w:sz w:val="18"/>
              </w:rPr>
              <w:t>API</w:t>
            </w:r>
          </w:p>
        </w:tc>
        <w:tc>
          <w:tcPr>
            <w:tcW w:type="dxa" w:w="1800"/>
            <w:tcMar>
              <w:top w:w="80" w:type="dxa"/>
              <w:start w:w="120" w:type="dxa"/>
              <w:bottom w:w="80" w:type="dxa"/>
              <w:end w:w="120" w:type="dxa"/>
            </w:tcMar>
            <w:vAlign w:val="center"/>
          </w:tcPr>
          <w:p>
            <w:pPr>
              <w:spacing w:before="0" w:after="40" w:line="264" w:lineRule="auto"/>
            </w:pPr>
            <w:r>
              <w:rPr>
                <w:rFonts w:ascii="Calibri" w:hAnsi="Calibri"/>
                <w:color w:val="0B2545"/>
                <w:sz w:val="18"/>
              </w:rPr>
              <w:t>Fastify with OpenAPI generation</w:t>
            </w:r>
          </w:p>
        </w:tc>
        <w:tc>
          <w:tcPr>
            <w:tcW w:type="dxa" w:w="4960"/>
            <w:tcMar>
              <w:top w:w="80" w:type="dxa"/>
              <w:start w:w="120" w:type="dxa"/>
              <w:bottom w:w="80" w:type="dxa"/>
              <w:end w:w="120" w:type="dxa"/>
            </w:tcMar>
            <w:vAlign w:val="center"/>
          </w:tcPr>
          <w:p>
            <w:pPr>
              <w:spacing w:before="0" w:after="40" w:line="264" w:lineRule="auto"/>
            </w:pPr>
            <w:r>
              <w:rPr>
                <w:rFonts w:ascii="Calibri" w:hAnsi="Calibri"/>
                <w:color w:val="0B2545"/>
                <w:sz w:val="18"/>
              </w:rPr>
              <w:t>Schema-first REST, low overhead, plugin isolation</w:t>
            </w:r>
          </w:p>
        </w:tc>
      </w:tr>
      <w:tr>
        <w:trPr>
          <w:cantSplit w:val="true"/>
        </w:trPr>
        <w:tc>
          <w:tcPr>
            <w:tcW w:type="dxa" w:w="2600"/>
            <w:tcMar>
              <w:top w:w="80" w:type="dxa"/>
              <w:start w:w="120" w:type="dxa"/>
              <w:bottom w:w="80" w:type="dxa"/>
              <w:end w:w="120" w:type="dxa"/>
            </w:tcMar>
            <w:vAlign w:val="center"/>
          </w:tcPr>
          <w:p>
            <w:pPr>
              <w:spacing w:before="0" w:after="40" w:line="264" w:lineRule="auto"/>
            </w:pPr>
            <w:r>
              <w:rPr>
                <w:rFonts w:ascii="Calibri" w:hAnsi="Calibri"/>
                <w:color w:val="0B2545"/>
                <w:sz w:val="18"/>
              </w:rPr>
              <w:t>Web</w:t>
            </w:r>
          </w:p>
        </w:tc>
        <w:tc>
          <w:tcPr>
            <w:tcW w:type="dxa" w:w="1800"/>
            <w:tcMar>
              <w:top w:w="80" w:type="dxa"/>
              <w:start w:w="120" w:type="dxa"/>
              <w:bottom w:w="80" w:type="dxa"/>
              <w:end w:w="120" w:type="dxa"/>
            </w:tcMar>
            <w:vAlign w:val="center"/>
          </w:tcPr>
          <w:p>
            <w:pPr>
              <w:spacing w:before="0" w:after="40" w:line="264" w:lineRule="auto"/>
            </w:pPr>
            <w:r>
              <w:rPr>
                <w:rFonts w:ascii="Calibri" w:hAnsi="Calibri"/>
                <w:color w:val="0B2545"/>
                <w:sz w:val="18"/>
              </w:rPr>
              <w:t>React, TypeScript, Vite, TanStack Query</w:t>
            </w:r>
          </w:p>
        </w:tc>
        <w:tc>
          <w:tcPr>
            <w:tcW w:type="dxa" w:w="4960"/>
            <w:tcMar>
              <w:top w:w="80" w:type="dxa"/>
              <w:start w:w="120" w:type="dxa"/>
              <w:bottom w:w="80" w:type="dxa"/>
              <w:end w:w="120" w:type="dxa"/>
            </w:tcMar>
            <w:vAlign w:val="center"/>
          </w:tcPr>
          <w:p>
            <w:pPr>
              <w:spacing w:before="0" w:after="40" w:line="264" w:lineRule="auto"/>
            </w:pPr>
            <w:r>
              <w:rPr>
                <w:rFonts w:ascii="Calibri" w:hAnsi="Calibri"/>
                <w:color w:val="0B2545"/>
                <w:sz w:val="18"/>
              </w:rPr>
              <w:t>Projection-driven SPA with explicit server state</w:t>
            </w:r>
          </w:p>
        </w:tc>
      </w:tr>
      <w:tr>
        <w:trPr>
          <w:cantSplit w:val="true"/>
        </w:trPr>
        <w:tc>
          <w:tcPr>
            <w:tcW w:type="dxa" w:w="2600"/>
            <w:tcMar>
              <w:top w:w="80" w:type="dxa"/>
              <w:start w:w="120" w:type="dxa"/>
              <w:bottom w:w="80" w:type="dxa"/>
              <w:end w:w="120" w:type="dxa"/>
            </w:tcMar>
            <w:vAlign w:val="center"/>
          </w:tcPr>
          <w:p>
            <w:pPr>
              <w:spacing w:before="0" w:after="40" w:line="264" w:lineRule="auto"/>
            </w:pPr>
            <w:r>
              <w:rPr>
                <w:rFonts w:ascii="Calibri" w:hAnsi="Calibri"/>
                <w:color w:val="0B2545"/>
                <w:sz w:val="18"/>
              </w:rPr>
              <w:t>Runtime validation</w:t>
            </w:r>
          </w:p>
        </w:tc>
        <w:tc>
          <w:tcPr>
            <w:tcW w:type="dxa" w:w="1800"/>
            <w:tcMar>
              <w:top w:w="80" w:type="dxa"/>
              <w:start w:w="120" w:type="dxa"/>
              <w:bottom w:w="80" w:type="dxa"/>
              <w:end w:w="120" w:type="dxa"/>
            </w:tcMar>
            <w:vAlign w:val="center"/>
          </w:tcPr>
          <w:p>
            <w:pPr>
              <w:spacing w:before="0" w:after="40" w:line="264" w:lineRule="auto"/>
            </w:pPr>
            <w:r>
              <w:rPr>
                <w:rFonts w:ascii="Calibri" w:hAnsi="Calibri"/>
                <w:color w:val="0B2545"/>
                <w:sz w:val="18"/>
              </w:rPr>
              <w:t>Zod as authoring schema; JSON Schema as interchange</w:t>
            </w:r>
          </w:p>
        </w:tc>
        <w:tc>
          <w:tcPr>
            <w:tcW w:type="dxa" w:w="4960"/>
            <w:tcMar>
              <w:top w:w="80" w:type="dxa"/>
              <w:start w:w="120" w:type="dxa"/>
              <w:bottom w:w="80" w:type="dxa"/>
              <w:end w:w="120" w:type="dxa"/>
            </w:tcMar>
            <w:vAlign w:val="center"/>
          </w:tcPr>
          <w:p>
            <w:pPr>
              <w:spacing w:before="0" w:after="40" w:line="264" w:lineRule="auto"/>
            </w:pPr>
            <w:r>
              <w:rPr>
                <w:rFonts w:ascii="Calibri" w:hAnsi="Calibri"/>
                <w:color w:val="0B2545"/>
                <w:sz w:val="18"/>
              </w:rPr>
              <w:t>One source for validation and generated API contracts</w:t>
            </w:r>
          </w:p>
        </w:tc>
      </w:tr>
      <w:tr>
        <w:trPr>
          <w:cantSplit w:val="true"/>
        </w:trPr>
        <w:tc>
          <w:tcPr>
            <w:tcW w:type="dxa" w:w="2600"/>
            <w:tcMar>
              <w:top w:w="80" w:type="dxa"/>
              <w:start w:w="120" w:type="dxa"/>
              <w:bottom w:w="80" w:type="dxa"/>
              <w:end w:w="120" w:type="dxa"/>
            </w:tcMar>
            <w:vAlign w:val="center"/>
          </w:tcPr>
          <w:p>
            <w:pPr>
              <w:spacing w:before="0" w:after="40" w:line="264" w:lineRule="auto"/>
            </w:pPr>
            <w:r>
              <w:rPr>
                <w:rFonts w:ascii="Calibri" w:hAnsi="Calibri"/>
                <w:color w:val="0B2545"/>
                <w:sz w:val="18"/>
              </w:rPr>
              <w:t>Authoritative hosted store</w:t>
            </w:r>
          </w:p>
        </w:tc>
        <w:tc>
          <w:tcPr>
            <w:tcW w:type="dxa" w:w="1800"/>
            <w:tcMar>
              <w:top w:w="80" w:type="dxa"/>
              <w:start w:w="120" w:type="dxa"/>
              <w:bottom w:w="80" w:type="dxa"/>
              <w:end w:w="120" w:type="dxa"/>
            </w:tcMar>
            <w:vAlign w:val="center"/>
          </w:tcPr>
          <w:p>
            <w:pPr>
              <w:spacing w:before="0" w:after="40" w:line="264" w:lineRule="auto"/>
            </w:pPr>
            <w:r>
              <w:rPr>
                <w:rFonts w:ascii="Calibri" w:hAnsi="Calibri"/>
                <w:color w:val="0B2545"/>
                <w:sz w:val="18"/>
              </w:rPr>
              <w:t>PostgreSQL</w:t>
            </w:r>
          </w:p>
        </w:tc>
        <w:tc>
          <w:tcPr>
            <w:tcW w:type="dxa" w:w="4960"/>
            <w:tcMar>
              <w:top w:w="80" w:type="dxa"/>
              <w:start w:w="120" w:type="dxa"/>
              <w:bottom w:w="80" w:type="dxa"/>
              <w:end w:w="120" w:type="dxa"/>
            </w:tcMar>
            <w:vAlign w:val="center"/>
          </w:tcPr>
          <w:p>
            <w:pPr>
              <w:spacing w:before="0" w:after="40" w:line="264" w:lineRule="auto"/>
            </w:pPr>
            <w:r>
              <w:rPr>
                <w:rFonts w:ascii="Calibri" w:hAnsi="Calibri"/>
                <w:color w:val="0B2545"/>
                <w:sz w:val="18"/>
              </w:rPr>
              <w:t>Transactions, optimistic concurrency, relational integrity</w:t>
            </w:r>
          </w:p>
        </w:tc>
      </w:tr>
      <w:tr>
        <w:trPr>
          <w:cantSplit w:val="true"/>
        </w:trPr>
        <w:tc>
          <w:tcPr>
            <w:tcW w:type="dxa" w:w="2600"/>
            <w:tcMar>
              <w:top w:w="80" w:type="dxa"/>
              <w:start w:w="120" w:type="dxa"/>
              <w:bottom w:w="80" w:type="dxa"/>
              <w:end w:w="120" w:type="dxa"/>
            </w:tcMar>
            <w:vAlign w:val="center"/>
          </w:tcPr>
          <w:p>
            <w:pPr>
              <w:spacing w:before="0" w:after="40" w:line="264" w:lineRule="auto"/>
            </w:pPr>
            <w:r>
              <w:rPr>
                <w:rFonts w:ascii="Calibri" w:hAnsi="Calibri"/>
                <w:color w:val="0B2545"/>
                <w:sz w:val="18"/>
              </w:rPr>
              <w:t>Local metadata store</w:t>
            </w:r>
          </w:p>
        </w:tc>
        <w:tc>
          <w:tcPr>
            <w:tcW w:type="dxa" w:w="1800"/>
            <w:tcMar>
              <w:top w:w="80" w:type="dxa"/>
              <w:start w:w="120" w:type="dxa"/>
              <w:bottom w:w="80" w:type="dxa"/>
              <w:end w:w="120" w:type="dxa"/>
            </w:tcMar>
            <w:vAlign w:val="center"/>
          </w:tcPr>
          <w:p>
            <w:pPr>
              <w:spacing w:before="0" w:after="40" w:line="264" w:lineRule="auto"/>
            </w:pPr>
            <w:r>
              <w:rPr>
                <w:rFonts w:ascii="Calibri" w:hAnsi="Calibri"/>
                <w:color w:val="0B2545"/>
                <w:sz w:val="18"/>
              </w:rPr>
              <w:t>SQLite behind the same repository interfaces</w:t>
            </w:r>
          </w:p>
        </w:tc>
        <w:tc>
          <w:tcPr>
            <w:tcW w:type="dxa" w:w="4960"/>
            <w:tcMar>
              <w:top w:w="80" w:type="dxa"/>
              <w:start w:w="120" w:type="dxa"/>
              <w:bottom w:w="80" w:type="dxa"/>
              <w:end w:w="120" w:type="dxa"/>
            </w:tcMar>
            <w:vAlign w:val="center"/>
          </w:tcPr>
          <w:p>
            <w:pPr>
              <w:spacing w:before="0" w:after="40" w:line="264" w:lineRule="auto"/>
            </w:pPr>
            <w:r>
              <w:rPr>
                <w:rFonts w:ascii="Calibri" w:hAnsi="Calibri"/>
                <w:color w:val="0B2545"/>
                <w:sz w:val="18"/>
              </w:rPr>
              <w:t>Lightweight local daemon; no contract divergence</w:t>
            </w:r>
          </w:p>
        </w:tc>
      </w:tr>
      <w:tr>
        <w:trPr>
          <w:cantSplit w:val="true"/>
        </w:trPr>
        <w:tc>
          <w:tcPr>
            <w:tcW w:type="dxa" w:w="2600"/>
            <w:tcMar>
              <w:top w:w="80" w:type="dxa"/>
              <w:start w:w="120" w:type="dxa"/>
              <w:bottom w:w="80" w:type="dxa"/>
              <w:end w:w="120" w:type="dxa"/>
            </w:tcMar>
            <w:vAlign w:val="center"/>
          </w:tcPr>
          <w:p>
            <w:pPr>
              <w:spacing w:before="0" w:after="40" w:line="264" w:lineRule="auto"/>
            </w:pPr>
            <w:r>
              <w:rPr>
                <w:rFonts w:ascii="Calibri" w:hAnsi="Calibri"/>
                <w:color w:val="0B2545"/>
                <w:sz w:val="18"/>
              </w:rPr>
              <w:t>Durable workflow engine</w:t>
            </w:r>
          </w:p>
        </w:tc>
        <w:tc>
          <w:tcPr>
            <w:tcW w:type="dxa" w:w="1800"/>
            <w:tcMar>
              <w:top w:w="80" w:type="dxa"/>
              <w:start w:w="120" w:type="dxa"/>
              <w:bottom w:w="80" w:type="dxa"/>
              <w:end w:w="120" w:type="dxa"/>
            </w:tcMar>
            <w:vAlign w:val="center"/>
          </w:tcPr>
          <w:p>
            <w:pPr>
              <w:spacing w:before="0" w:after="40" w:line="264" w:lineRule="auto"/>
            </w:pPr>
            <w:r>
              <w:rPr>
                <w:rFonts w:ascii="Calibri" w:hAnsi="Calibri"/>
                <w:color w:val="0B2545"/>
                <w:sz w:val="18"/>
              </w:rPr>
              <w:t xml:space="preserve">Temporal behind </w:t>
            </w:r>
            <w:r>
              <w:rPr>
                <w:rFonts w:ascii="Consolas" w:hAnsi="Consolas"/>
                <w:color w:val="1F4D78"/>
                <w:sz w:val="16"/>
              </w:rPr>
              <w:t>WorkflowBackend</w:t>
            </w:r>
          </w:p>
        </w:tc>
        <w:tc>
          <w:tcPr>
            <w:tcW w:type="dxa" w:w="4960"/>
            <w:tcMar>
              <w:top w:w="80" w:type="dxa"/>
              <w:start w:w="120" w:type="dxa"/>
              <w:bottom w:w="80" w:type="dxa"/>
              <w:end w:w="120" w:type="dxa"/>
            </w:tcMar>
            <w:vAlign w:val="center"/>
          </w:tcPr>
          <w:p>
            <w:pPr>
              <w:spacing w:before="0" w:after="40" w:line="264" w:lineRule="auto"/>
            </w:pPr>
            <w:r>
              <w:rPr>
                <w:rFonts w:ascii="Calibri" w:hAnsi="Calibri"/>
                <w:color w:val="0B2545"/>
                <w:sz w:val="18"/>
              </w:rPr>
              <w:t>Crash recovery, timers, retries, signals, and long-running execution</w:t>
            </w:r>
          </w:p>
        </w:tc>
      </w:tr>
      <w:tr>
        <w:trPr>
          <w:cantSplit w:val="true"/>
        </w:trPr>
        <w:tc>
          <w:tcPr>
            <w:tcW w:type="dxa" w:w="2600"/>
            <w:tcMar>
              <w:top w:w="80" w:type="dxa"/>
              <w:start w:w="120" w:type="dxa"/>
              <w:bottom w:w="80" w:type="dxa"/>
              <w:end w:w="120" w:type="dxa"/>
            </w:tcMar>
            <w:vAlign w:val="center"/>
          </w:tcPr>
          <w:p>
            <w:pPr>
              <w:spacing w:before="0" w:after="40" w:line="264" w:lineRule="auto"/>
            </w:pPr>
            <w:r>
              <w:rPr>
                <w:rFonts w:ascii="Calibri" w:hAnsi="Calibri"/>
                <w:color w:val="0B2545"/>
                <w:sz w:val="18"/>
              </w:rPr>
              <w:t>Event transport</w:t>
            </w:r>
          </w:p>
        </w:tc>
        <w:tc>
          <w:tcPr>
            <w:tcW w:type="dxa" w:w="1800"/>
            <w:tcMar>
              <w:top w:w="80" w:type="dxa"/>
              <w:start w:w="120" w:type="dxa"/>
              <w:bottom w:w="80" w:type="dxa"/>
              <w:end w:w="120" w:type="dxa"/>
            </w:tcMar>
            <w:vAlign w:val="center"/>
          </w:tcPr>
          <w:p>
            <w:pPr>
              <w:spacing w:before="0" w:after="40" w:line="264" w:lineRule="auto"/>
            </w:pPr>
            <w:r>
              <w:rPr>
                <w:rFonts w:ascii="Calibri" w:hAnsi="Calibri"/>
                <w:color w:val="0B2545"/>
                <w:sz w:val="18"/>
              </w:rPr>
              <w:t>Transactional outbox plus NATS JetStream</w:t>
            </w:r>
          </w:p>
        </w:tc>
        <w:tc>
          <w:tcPr>
            <w:tcW w:type="dxa" w:w="4960"/>
            <w:tcMar>
              <w:top w:w="80" w:type="dxa"/>
              <w:start w:w="120" w:type="dxa"/>
              <w:bottom w:w="80" w:type="dxa"/>
              <w:end w:w="120" w:type="dxa"/>
            </w:tcMar>
            <w:vAlign w:val="center"/>
          </w:tcPr>
          <w:p>
            <w:pPr>
              <w:spacing w:before="0" w:after="40" w:line="264" w:lineRule="auto"/>
            </w:pPr>
            <w:r>
              <w:rPr>
                <w:rFonts w:ascii="Calibri" w:hAnsi="Calibri"/>
                <w:color w:val="0B2545"/>
                <w:sz w:val="18"/>
              </w:rPr>
              <w:t>Database is truth; JetStream distributes and replays integration events</w:t>
            </w:r>
          </w:p>
        </w:tc>
      </w:tr>
      <w:tr>
        <w:trPr>
          <w:cantSplit w:val="true"/>
        </w:trPr>
        <w:tc>
          <w:tcPr>
            <w:tcW w:type="dxa" w:w="2600"/>
            <w:tcMar>
              <w:top w:w="80" w:type="dxa"/>
              <w:start w:w="120" w:type="dxa"/>
              <w:bottom w:w="80" w:type="dxa"/>
              <w:end w:w="120" w:type="dxa"/>
            </w:tcMar>
            <w:vAlign w:val="center"/>
          </w:tcPr>
          <w:p>
            <w:pPr>
              <w:spacing w:before="0" w:after="40" w:line="264" w:lineRule="auto"/>
            </w:pPr>
            <w:r>
              <w:rPr>
                <w:rFonts w:ascii="Calibri" w:hAnsi="Calibri"/>
                <w:color w:val="0B2545"/>
                <w:sz w:val="18"/>
              </w:rPr>
              <w:t>Object storage</w:t>
            </w:r>
          </w:p>
        </w:tc>
        <w:tc>
          <w:tcPr>
            <w:tcW w:type="dxa" w:w="1800"/>
            <w:tcMar>
              <w:top w:w="80" w:type="dxa"/>
              <w:start w:w="120" w:type="dxa"/>
              <w:bottom w:w="80" w:type="dxa"/>
              <w:end w:w="120" w:type="dxa"/>
            </w:tcMar>
            <w:vAlign w:val="center"/>
          </w:tcPr>
          <w:p>
            <w:pPr>
              <w:spacing w:before="0" w:after="40" w:line="264" w:lineRule="auto"/>
            </w:pPr>
            <w:r>
              <w:rPr>
                <w:rFonts w:ascii="Calibri" w:hAnsi="Calibri"/>
                <w:color w:val="0B2545"/>
                <w:sz w:val="18"/>
              </w:rPr>
              <w:t>S3-compatible API; MinIO for local development</w:t>
            </w:r>
          </w:p>
        </w:tc>
        <w:tc>
          <w:tcPr>
            <w:tcW w:type="dxa" w:w="4960"/>
            <w:tcMar>
              <w:top w:w="80" w:type="dxa"/>
              <w:start w:w="120" w:type="dxa"/>
              <w:bottom w:w="80" w:type="dxa"/>
              <w:end w:w="120" w:type="dxa"/>
            </w:tcMar>
            <w:vAlign w:val="center"/>
          </w:tcPr>
          <w:p>
            <w:pPr>
              <w:spacing w:before="0" w:after="40" w:line="264" w:lineRule="auto"/>
            </w:pPr>
            <w:r>
              <w:rPr>
                <w:rFonts w:ascii="Calibri" w:hAnsi="Calibri"/>
                <w:color w:val="0B2545"/>
                <w:sz w:val="18"/>
              </w:rPr>
              <w:t>Content-addressed large artifacts and portable deployments</w:t>
            </w:r>
          </w:p>
        </w:tc>
      </w:tr>
      <w:tr>
        <w:trPr>
          <w:cantSplit w:val="true"/>
        </w:trPr>
        <w:tc>
          <w:tcPr>
            <w:tcW w:type="dxa" w:w="2600"/>
            <w:tcMar>
              <w:top w:w="80" w:type="dxa"/>
              <w:start w:w="120" w:type="dxa"/>
              <w:bottom w:w="80" w:type="dxa"/>
              <w:end w:w="120" w:type="dxa"/>
            </w:tcMar>
            <w:vAlign w:val="center"/>
          </w:tcPr>
          <w:p>
            <w:pPr>
              <w:spacing w:before="0" w:after="40" w:line="264" w:lineRule="auto"/>
            </w:pPr>
            <w:r>
              <w:rPr>
                <w:rFonts w:ascii="Calibri" w:hAnsi="Calibri"/>
                <w:color w:val="0B2545"/>
                <w:sz w:val="18"/>
              </w:rPr>
              <w:t>Policy</w:t>
            </w:r>
          </w:p>
        </w:tc>
        <w:tc>
          <w:tcPr>
            <w:tcW w:type="dxa" w:w="1800"/>
            <w:tcMar>
              <w:top w:w="80" w:type="dxa"/>
              <w:start w:w="120" w:type="dxa"/>
              <w:bottom w:w="80" w:type="dxa"/>
              <w:end w:w="120" w:type="dxa"/>
            </w:tcMar>
            <w:vAlign w:val="center"/>
          </w:tcPr>
          <w:p>
            <w:pPr>
              <w:spacing w:before="0" w:after="40" w:line="264" w:lineRule="auto"/>
            </w:pPr>
            <w:r>
              <w:rPr>
                <w:rFonts w:ascii="Calibri" w:hAnsi="Calibri"/>
                <w:color w:val="0B2545"/>
                <w:sz w:val="18"/>
              </w:rPr>
              <w:t xml:space="preserve">OPA behind </w:t>
            </w:r>
            <w:r>
              <w:rPr>
                <w:rFonts w:ascii="Consolas" w:hAnsi="Consolas"/>
                <w:color w:val="1F4D78"/>
                <w:sz w:val="16"/>
              </w:rPr>
              <w:t>PolicyDecisionService</w:t>
            </w:r>
          </w:p>
        </w:tc>
        <w:tc>
          <w:tcPr>
            <w:tcW w:type="dxa" w:w="4960"/>
            <w:tcMar>
              <w:top w:w="80" w:type="dxa"/>
              <w:start w:w="120" w:type="dxa"/>
              <w:bottom w:w="80" w:type="dxa"/>
              <w:end w:w="120" w:type="dxa"/>
            </w:tcMar>
            <w:vAlign w:val="center"/>
          </w:tcPr>
          <w:p>
            <w:pPr>
              <w:spacing w:before="0" w:after="40" w:line="264" w:lineRule="auto"/>
            </w:pPr>
            <w:r>
              <w:rPr>
                <w:rFonts w:ascii="Calibri" w:hAnsi="Calibri"/>
                <w:color w:val="0B2545"/>
                <w:sz w:val="18"/>
              </w:rPr>
              <w:t>Independently enforced, versioned policy decisions</w:t>
            </w:r>
          </w:p>
        </w:tc>
      </w:tr>
      <w:tr>
        <w:trPr>
          <w:cantSplit w:val="true"/>
        </w:trPr>
        <w:tc>
          <w:tcPr>
            <w:tcW w:type="dxa" w:w="2600"/>
            <w:tcMar>
              <w:top w:w="80" w:type="dxa"/>
              <w:start w:w="120" w:type="dxa"/>
              <w:bottom w:w="80" w:type="dxa"/>
              <w:end w:w="120" w:type="dxa"/>
            </w:tcMar>
            <w:vAlign w:val="center"/>
          </w:tcPr>
          <w:p>
            <w:pPr>
              <w:spacing w:before="0" w:after="40" w:line="264" w:lineRule="auto"/>
            </w:pPr>
            <w:r>
              <w:rPr>
                <w:rFonts w:ascii="Calibri" w:hAnsi="Calibri"/>
                <w:color w:val="0B2545"/>
                <w:sz w:val="18"/>
              </w:rPr>
              <w:t>Observability</w:t>
            </w:r>
          </w:p>
        </w:tc>
        <w:tc>
          <w:tcPr>
            <w:tcW w:type="dxa" w:w="1800"/>
            <w:tcMar>
              <w:top w:w="80" w:type="dxa"/>
              <w:start w:w="120" w:type="dxa"/>
              <w:bottom w:w="80" w:type="dxa"/>
              <w:end w:w="120" w:type="dxa"/>
            </w:tcMar>
            <w:vAlign w:val="center"/>
          </w:tcPr>
          <w:p>
            <w:pPr>
              <w:spacing w:before="0" w:after="40" w:line="264" w:lineRule="auto"/>
            </w:pPr>
            <w:r>
              <w:rPr>
                <w:rFonts w:ascii="Calibri" w:hAnsi="Calibri"/>
                <w:color w:val="0B2545"/>
                <w:sz w:val="18"/>
              </w:rPr>
              <w:t>OpenTelemetry traces, metrics, and logs</w:t>
            </w:r>
          </w:p>
        </w:tc>
        <w:tc>
          <w:tcPr>
            <w:tcW w:type="dxa" w:w="4960"/>
            <w:tcMar>
              <w:top w:w="80" w:type="dxa"/>
              <w:start w:w="120" w:type="dxa"/>
              <w:bottom w:w="80" w:type="dxa"/>
              <w:end w:w="120" w:type="dxa"/>
            </w:tcMar>
            <w:vAlign w:val="center"/>
          </w:tcPr>
          <w:p>
            <w:pPr>
              <w:spacing w:before="0" w:after="40" w:line="264" w:lineRule="auto"/>
            </w:pPr>
            <w:r>
              <w:rPr>
                <w:rFonts w:ascii="Calibri" w:hAnsi="Calibri"/>
                <w:color w:val="0B2545"/>
                <w:sz w:val="18"/>
              </w:rPr>
              <w:t>Vendor-neutral correlation across command, workflow, invocation, and tool call</w:t>
            </w:r>
          </w:p>
        </w:tc>
      </w:tr>
      <w:tr>
        <w:trPr>
          <w:cantSplit w:val="true"/>
        </w:trPr>
        <w:tc>
          <w:tcPr>
            <w:tcW w:type="dxa" w:w="2600"/>
            <w:tcMar>
              <w:top w:w="80" w:type="dxa"/>
              <w:start w:w="120" w:type="dxa"/>
              <w:bottom w:w="80" w:type="dxa"/>
              <w:end w:w="120" w:type="dxa"/>
            </w:tcMar>
            <w:vAlign w:val="center"/>
          </w:tcPr>
          <w:p>
            <w:pPr>
              <w:spacing w:before="0" w:after="40" w:line="264" w:lineRule="auto"/>
            </w:pPr>
            <w:r>
              <w:rPr>
                <w:rFonts w:ascii="Calibri" w:hAnsi="Calibri"/>
                <w:color w:val="0B2545"/>
                <w:sz w:val="18"/>
              </w:rPr>
              <w:t>Agent runtime</w:t>
            </w:r>
          </w:p>
        </w:tc>
        <w:tc>
          <w:tcPr>
            <w:tcW w:type="dxa" w:w="1800"/>
            <w:tcMar>
              <w:top w:w="80" w:type="dxa"/>
              <w:start w:w="120" w:type="dxa"/>
              <w:bottom w:w="80" w:type="dxa"/>
              <w:end w:w="120" w:type="dxa"/>
            </w:tcMar>
            <w:vAlign w:val="center"/>
          </w:tcPr>
          <w:p>
            <w:pPr>
              <w:spacing w:before="0" w:after="40" w:line="264" w:lineRule="auto"/>
            </w:pPr>
            <w:r>
              <w:rPr>
                <w:rFonts w:ascii="Calibri" w:hAnsi="Calibri"/>
                <w:color w:val="0B2545"/>
                <w:sz w:val="18"/>
              </w:rPr>
              <w:t xml:space="preserve">Cline SDK behind </w:t>
            </w:r>
            <w:r>
              <w:rPr>
                <w:rFonts w:ascii="Consolas" w:hAnsi="Consolas"/>
                <w:color w:val="1F4D78"/>
                <w:sz w:val="16"/>
              </w:rPr>
              <w:t>ClineRuntimeAdapter</w:t>
            </w:r>
          </w:p>
        </w:tc>
        <w:tc>
          <w:tcPr>
            <w:tcW w:type="dxa" w:w="4960"/>
            <w:tcMar>
              <w:top w:w="80" w:type="dxa"/>
              <w:start w:w="120" w:type="dxa"/>
              <w:bottom w:w="80" w:type="dxa"/>
              <w:end w:w="120" w:type="dxa"/>
            </w:tcMar>
            <w:vAlign w:val="center"/>
          </w:tcPr>
          <w:p>
            <w:pPr>
              <w:spacing w:before="0" w:after="40" w:line="264" w:lineRule="auto"/>
            </w:pPr>
            <w:r>
              <w:rPr>
                <w:rFonts w:ascii="Calibri" w:hAnsi="Calibri"/>
                <w:color w:val="0B2545"/>
                <w:sz w:val="18"/>
              </w:rPr>
              <w:t>Prevent SDK lifecycle or package changes from leaking into business logic</w:t>
            </w:r>
          </w:p>
        </w:tc>
      </w:tr>
      <w:tr>
        <w:trPr>
          <w:cantSplit w:val="true"/>
        </w:trPr>
        <w:tc>
          <w:tcPr>
            <w:tcW w:type="dxa" w:w="2600"/>
            <w:tcMar>
              <w:top w:w="80" w:type="dxa"/>
              <w:start w:w="120" w:type="dxa"/>
              <w:bottom w:w="80" w:type="dxa"/>
              <w:end w:w="120" w:type="dxa"/>
            </w:tcMar>
            <w:vAlign w:val="center"/>
          </w:tcPr>
          <w:p>
            <w:pPr>
              <w:spacing w:before="0" w:after="40" w:line="264" w:lineRule="auto"/>
            </w:pPr>
            <w:r>
              <w:rPr>
                <w:rFonts w:ascii="Calibri" w:hAnsi="Calibri"/>
                <w:color w:val="0B2545"/>
                <w:sz w:val="18"/>
              </w:rPr>
              <w:t>Containers</w:t>
            </w:r>
          </w:p>
        </w:tc>
        <w:tc>
          <w:tcPr>
            <w:tcW w:type="dxa" w:w="1800"/>
            <w:tcMar>
              <w:top w:w="80" w:type="dxa"/>
              <w:start w:w="120" w:type="dxa"/>
              <w:bottom w:w="80" w:type="dxa"/>
              <w:end w:w="120" w:type="dxa"/>
            </w:tcMar>
            <w:vAlign w:val="center"/>
          </w:tcPr>
          <w:p>
            <w:pPr>
              <w:spacing w:before="0" w:after="40" w:line="264" w:lineRule="auto"/>
            </w:pPr>
            <w:r>
              <w:rPr>
                <w:rFonts w:ascii="Calibri" w:hAnsi="Calibri"/>
                <w:color w:val="0B2545"/>
                <w:sz w:val="18"/>
              </w:rPr>
              <w:t>OCI images and Docker Compose locally</w:t>
            </w:r>
          </w:p>
        </w:tc>
        <w:tc>
          <w:tcPr>
            <w:tcW w:type="dxa" w:w="4960"/>
            <w:tcMar>
              <w:top w:w="80" w:type="dxa"/>
              <w:start w:w="120" w:type="dxa"/>
              <w:bottom w:w="80" w:type="dxa"/>
              <w:end w:w="120" w:type="dxa"/>
            </w:tcMar>
            <w:vAlign w:val="center"/>
          </w:tcPr>
          <w:p>
            <w:pPr>
              <w:spacing w:before="0" w:after="40" w:line="264" w:lineRule="auto"/>
            </w:pPr>
            <w:r>
              <w:rPr>
                <w:rFonts w:ascii="Calibri" w:hAnsi="Calibri"/>
                <w:color w:val="0B2545"/>
                <w:sz w:val="18"/>
              </w:rPr>
              <w:t>Reproducible workers and local dependency stack</w:t>
            </w:r>
          </w:p>
        </w:tc>
      </w:tr>
      <w:tr>
        <w:trPr>
          <w:cantSplit w:val="true"/>
        </w:trPr>
        <w:tc>
          <w:tcPr>
            <w:tcW w:type="dxa" w:w="2600"/>
            <w:tcMar>
              <w:top w:w="80" w:type="dxa"/>
              <w:start w:w="120" w:type="dxa"/>
              <w:bottom w:w="80" w:type="dxa"/>
              <w:end w:w="120" w:type="dxa"/>
            </w:tcMar>
            <w:vAlign w:val="center"/>
          </w:tcPr>
          <w:p>
            <w:pPr>
              <w:spacing w:before="0" w:after="40" w:line="264" w:lineRule="auto"/>
            </w:pPr>
            <w:r>
              <w:rPr>
                <w:rFonts w:ascii="Calibri" w:hAnsi="Calibri"/>
                <w:color w:val="0B2545"/>
                <w:sz w:val="18"/>
              </w:rPr>
              <w:t>Cloud scheduler first target</w:t>
            </w:r>
          </w:p>
        </w:tc>
        <w:tc>
          <w:tcPr>
            <w:tcW w:type="dxa" w:w="1800"/>
            <w:tcMar>
              <w:top w:w="80" w:type="dxa"/>
              <w:start w:w="120" w:type="dxa"/>
              <w:bottom w:w="80" w:type="dxa"/>
              <w:end w:w="120" w:type="dxa"/>
            </w:tcMar>
            <w:vAlign w:val="center"/>
          </w:tcPr>
          <w:p>
            <w:pPr>
              <w:spacing w:before="0" w:after="40" w:line="264" w:lineRule="auto"/>
            </w:pPr>
            <w:r>
              <w:rPr>
                <w:rFonts w:ascii="Calibri" w:hAnsi="Calibri"/>
                <w:color w:val="0B2545"/>
                <w:sz w:val="18"/>
              </w:rPr>
              <w:t>Kubernetes</w:t>
            </w:r>
          </w:p>
        </w:tc>
        <w:tc>
          <w:tcPr>
            <w:tcW w:type="dxa" w:w="4960"/>
            <w:tcMar>
              <w:top w:w="80" w:type="dxa"/>
              <w:start w:w="120" w:type="dxa"/>
              <w:bottom w:w="80" w:type="dxa"/>
              <w:end w:w="120" w:type="dxa"/>
            </w:tcMar>
            <w:vAlign w:val="center"/>
          </w:tcPr>
          <w:p>
            <w:pPr>
              <w:spacing w:before="0" w:after="40" w:line="264" w:lineRule="auto"/>
            </w:pPr>
            <w:r>
              <w:rPr>
                <w:rFonts w:ascii="Calibri" w:hAnsi="Calibri"/>
                <w:color w:val="0B2545"/>
                <w:sz w:val="18"/>
              </w:rPr>
              <w:t>Implement SLURM only after the compute adapter contract is proven</w:t>
            </w:r>
          </w:p>
        </w:tc>
      </w:tr>
    </w:tbl>
    <w:p>
      <w:pPr>
        <w:spacing w:after="0"/>
      </w:pPr>
    </w:p>
    <w:p>
      <w:pPr>
        <w:spacing w:after="120" w:line="300" w:lineRule="auto"/>
      </w:pPr>
      <w:r>
        <w:rPr>
          <w:rFonts w:ascii="Calibri" w:hAnsi="Calibri"/>
          <w:sz w:val="22"/>
        </w:rPr>
        <w:t xml:space="preserve">Temporal is the hosted durability default, but domain code must depend only on </w:t>
      </w:r>
      <w:r>
        <w:rPr>
          <w:rFonts w:ascii="Consolas" w:hAnsi="Consolas"/>
          <w:color w:val="1F4D78"/>
          <w:sz w:val="20"/>
        </w:rPr>
        <w:t>WorkflowBackend</w:t>
      </w:r>
      <w:r>
        <w:rPr>
          <w:rFonts w:ascii="Calibri" w:hAnsi="Calibri"/>
          <w:sz w:val="22"/>
        </w:rPr>
        <w:t>. NATS is distribution infrastructure, not the authoritative event log. PostgreSQL transactions and the outbox pattern determine committed state. OPA is advisory only through an enforcement wrapper: the tool broker and commit path must independently apply its decisions.</w:t>
      </w:r>
    </w:p>
    <w:p>
      <w:pPr>
        <w:pStyle w:val="Heading2"/>
        <w:keepNext w:val="1"/>
      </w:pPr>
      <w:r>
        <w:rPr>
          <w:rFonts w:ascii="Calibri" w:hAnsi="Calibri"/>
          <w:b/>
          <w:color w:val="2E74B5"/>
          <w:sz w:val="26"/>
        </w:rPr>
        <w:t>3.1 Required Phase 0 ADRs</w:t>
      </w:r>
    </w:p>
    <w:p>
      <w:pPr>
        <w:spacing w:after="80" w:line="300" w:lineRule="auto"/>
        <w:numPr>
          <w:ilvl w:val="0"/>
          <w:numId w:val="10"/>
        </w:numPr>
      </w:pPr>
      <w:r>
        <w:rPr>
          <w:rFonts w:ascii="Calibri" w:hAnsi="Calibri"/>
          <w:sz w:val="22"/>
        </w:rPr>
        <w:t>ADR-0001: Monorepo, language, and build toolchain.</w:t>
      </w:r>
    </w:p>
    <w:p>
      <w:pPr>
        <w:spacing w:after="80" w:line="300" w:lineRule="auto"/>
        <w:numPr>
          <w:ilvl w:val="0"/>
          <w:numId w:val="10"/>
        </w:numPr>
      </w:pPr>
      <w:r>
        <w:rPr>
          <w:rFonts w:ascii="Calibri" w:hAnsi="Calibri"/>
          <w:sz w:val="22"/>
        </w:rPr>
        <w:t>ADR-0002: Identifier, time, money, and hashing conventions.</w:t>
      </w:r>
    </w:p>
    <w:p>
      <w:pPr>
        <w:spacing w:after="80" w:line="300" w:lineRule="auto"/>
        <w:numPr>
          <w:ilvl w:val="0"/>
          <w:numId w:val="10"/>
        </w:numPr>
      </w:pPr>
      <w:r>
        <w:rPr>
          <w:rFonts w:ascii="Calibri" w:hAnsi="Calibri"/>
          <w:sz w:val="22"/>
        </w:rPr>
        <w:t>ADR-0003: PostgreSQL event log plus outbox and JetStream delivery semantics.</w:t>
      </w:r>
    </w:p>
    <w:p>
      <w:pPr>
        <w:spacing w:after="80" w:line="300" w:lineRule="auto"/>
        <w:numPr>
          <w:ilvl w:val="0"/>
          <w:numId w:val="10"/>
        </w:numPr>
      </w:pPr>
      <w:r>
        <w:rPr>
          <w:rFonts w:ascii="Calibri" w:hAnsi="Calibri"/>
          <w:sz w:val="22"/>
        </w:rPr>
        <w:t>ADR-0004: Temporal workflow boundary and determinism rules.</w:t>
      </w:r>
    </w:p>
    <w:p>
      <w:pPr>
        <w:spacing w:after="80" w:line="300" w:lineRule="auto"/>
        <w:numPr>
          <w:ilvl w:val="0"/>
          <w:numId w:val="10"/>
        </w:numPr>
      </w:pPr>
      <w:r>
        <w:rPr>
          <w:rFonts w:ascii="Calibri" w:hAnsi="Calibri"/>
          <w:sz w:val="22"/>
        </w:rPr>
        <w:t>ADR-0005: Local SQLite compatibility strategy.</w:t>
      </w:r>
    </w:p>
    <w:p>
      <w:pPr>
        <w:spacing w:after="80" w:line="300" w:lineRule="auto"/>
        <w:numPr>
          <w:ilvl w:val="0"/>
          <w:numId w:val="10"/>
        </w:numPr>
      </w:pPr>
      <w:r>
        <w:rPr>
          <w:rFonts w:ascii="Calibri" w:hAnsi="Calibri"/>
          <w:sz w:val="22"/>
        </w:rPr>
        <w:t>ADR-0006: OPA policy bundle ownership and release flow.</w:t>
      </w:r>
    </w:p>
    <w:p>
      <w:pPr>
        <w:spacing w:after="80" w:line="300" w:lineRule="auto"/>
        <w:numPr>
          <w:ilvl w:val="0"/>
          <w:numId w:val="10"/>
        </w:numPr>
      </w:pPr>
      <w:r>
        <w:rPr>
          <w:rFonts w:ascii="Calibri" w:hAnsi="Calibri"/>
          <w:sz w:val="22"/>
        </w:rPr>
        <w:t>ADR-0007: Cline SDK adapter surface and pinned compatibility version.</w:t>
      </w:r>
    </w:p>
    <w:p>
      <w:pPr>
        <w:spacing w:after="80" w:line="300" w:lineRule="auto"/>
        <w:numPr>
          <w:ilvl w:val="0"/>
          <w:numId w:val="10"/>
        </w:numPr>
      </w:pPr>
      <w:r>
        <w:rPr>
          <w:rFonts w:ascii="Calibri" w:hAnsi="Calibri"/>
          <w:sz w:val="22"/>
        </w:rPr>
        <w:t>ADR-0008: Artifact object layout and encryption policy.</w:t>
      </w:r>
    </w:p>
    <w:p>
      <w:pPr>
        <w:spacing w:after="80" w:line="300" w:lineRule="auto"/>
        <w:numPr>
          <w:ilvl w:val="0"/>
          <w:numId w:val="10"/>
        </w:numPr>
      </w:pPr>
      <w:r>
        <w:rPr>
          <w:rFonts w:ascii="Calibri" w:hAnsi="Calibri"/>
          <w:sz w:val="22"/>
        </w:rPr>
        <w:t>ADR-0009: Authentication provider interface and development identity mode.</w:t>
      </w:r>
    </w:p>
    <w:p>
      <w:pPr>
        <w:spacing w:after="80" w:line="300" w:lineRule="auto"/>
        <w:numPr>
          <w:ilvl w:val="0"/>
          <w:numId w:val="10"/>
        </w:numPr>
      </w:pPr>
      <w:r>
        <w:rPr>
          <w:rFonts w:ascii="Calibri" w:hAnsi="Calibri"/>
          <w:sz w:val="22"/>
        </w:rPr>
        <w:t>ADR-0010: Deployment environments and promotion model.</w:t>
      </w:r>
    </w:p>
    <w:p>
      <w:pPr>
        <w:spacing w:after="120" w:line="300" w:lineRule="auto"/>
      </w:pPr>
      <w:r>
        <w:rPr>
          <w:rFonts w:ascii="Calibri" w:hAnsi="Calibri"/>
          <w:sz w:val="22"/>
        </w:rPr>
        <w:t>No phase may silently substitute a different technology. A replacement is allowed when an ADR documents contract compatibility, migration, operational burden, security impact, and rollback.</w:t>
      </w:r>
    </w:p>
    <w:p>
      <w:pPr>
        <w:pStyle w:val="Heading1"/>
        <w:keepNext w:val="1"/>
      </w:pPr>
      <w:r>
        <w:rPr>
          <w:rFonts w:ascii="Calibri" w:hAnsi="Calibri"/>
          <w:b/>
          <w:color w:val="2E74B5"/>
          <w:sz w:val="32"/>
        </w:rPr>
        <w:t>4. Target Repository Layout</w:t>
      </w:r>
    </w:p>
    <w:p>
      <w:pPr>
        <w:spacing w:after="120" w:line="300" w:lineRule="auto"/>
      </w:pPr>
      <w:r>
        <w:rPr>
          <w:rFonts w:ascii="Calibri" w:hAnsi="Calibri"/>
          <w:sz w:val="22"/>
        </w:rPr>
        <w:t>Create the following structure incrementally. Do not generate empty packages that have no owner or phase deliverable.</w:t>
      </w:r>
    </w:p>
    <w:tbl>
      <w:tblPr>
        <w:tblW w:type="dxa" w:w="9360"/>
        <w:jc w:val="left"/>
        <w:tblLayout w:type="fixed"/>
        <w:tblLook w:firstColumn="1" w:firstRow="1" w:lastColumn="0" w:lastRow="0" w:noHBand="0" w:noVBand="1" w:val="04A0"/>
        <w:tblInd w:w="120" w:type="dxa"/>
        <w:tblBorders>
          <w:top w:val="single" w:sz="4" w:color="D3DAE2"/>
          <w:left w:val="single" w:sz="4" w:color="D3DAE2"/>
          <w:bottom w:val="single" w:sz="4" w:color="D3DAE2"/>
          <w:right w:val="single" w:sz="4" w:color="D3DAE2"/>
          <w:insideH w:val="single" w:sz="4" w:color="D3DAE2"/>
          <w:insideV w:val="single" w:sz="4" w:color="D3DAE2"/>
        </w:tblBorders>
      </w:tblPr>
      <w:tblGrid>
        <w:gridCol w:w="9360"/>
      </w:tblGrid>
      <w:tr>
        <w:tc>
          <w:tcPr>
            <w:tcW w:type="dxa" w:w="9360"/>
            <w:tcMar>
              <w:top w:w="80" w:type="dxa"/>
              <w:start w:w="120" w:type="dxa"/>
              <w:bottom w:w="80" w:type="dxa"/>
              <w:end w:w="120" w:type="dxa"/>
            </w:tcMar>
            <w:shd w:fill="F7F8FA"/>
          </w:tcPr>
          <w:p>
            <w:pPr>
              <w:spacing w:after="0" w:line="240" w:lineRule="auto"/>
            </w:pPr>
            <w:r>
              <w:rPr>
                <w:rFonts w:ascii="Consolas" w:hAnsi="Consolas"/>
                <w:color w:val="263442"/>
                <w:sz w:val="17"/>
              </w:rPr>
              <w:t>/.github/workflows</w:t>
            </w:r>
            <w:r>
              <w:br/>
            </w:r>
            <w:r>
              <w:rPr>
                <w:rFonts w:ascii="Consolas" w:hAnsi="Consolas"/>
                <w:color w:val="263442"/>
                <w:sz w:val="17"/>
              </w:rPr>
              <w:t>/apps</w:t>
            </w:r>
            <w:r>
              <w:br/>
            </w:r>
            <w:r>
              <w:rPr>
                <w:rFonts w:ascii="Consolas" w:hAnsi="Consolas"/>
                <w:color w:val="263442"/>
                <w:sz w:val="17"/>
              </w:rPr>
              <w:t xml:space="preserve">  /api                 # hosted command, query, approval, and subscription API</w:t>
            </w:r>
            <w:r>
              <w:br/>
            </w:r>
            <w:r>
              <w:rPr>
                <w:rFonts w:ascii="Consolas" w:hAnsi="Consolas"/>
                <w:color w:val="263442"/>
                <w:sz w:val="17"/>
              </w:rPr>
              <w:t xml:space="preserve">  /web                 # projection-driven user interface</w:t>
            </w:r>
            <w:r>
              <w:br/>
            </w:r>
            <w:r>
              <w:rPr>
                <w:rFonts w:ascii="Consolas" w:hAnsi="Consolas"/>
                <w:color w:val="263442"/>
                <w:sz w:val="17"/>
              </w:rPr>
              <w:t xml:space="preserve">  /local-daemon        # local API, coordinator, stores, and adapters</w:t>
            </w:r>
            <w:r>
              <w:br/>
            </w:r>
            <w:r>
              <w:rPr>
                <w:rFonts w:ascii="Consolas" w:hAnsi="Consolas"/>
                <w:color w:val="263442"/>
                <w:sz w:val="17"/>
              </w:rPr>
              <w:t xml:space="preserve">  /worker              # Temporal activities and distributed worker entrypoints</w:t>
            </w:r>
            <w:r>
              <w:br/>
            </w:r>
            <w:r>
              <w:rPr>
                <w:rFonts w:ascii="Consolas" w:hAnsi="Consolas"/>
                <w:color w:val="263442"/>
                <w:sz w:val="17"/>
              </w:rPr>
              <w:t>/packages</w:t>
            </w:r>
            <w:r>
              <w:br/>
            </w:r>
            <w:r>
              <w:rPr>
                <w:rFonts w:ascii="Consolas" w:hAnsi="Consolas"/>
                <w:color w:val="263442"/>
                <w:sz w:val="17"/>
              </w:rPr>
              <w:t xml:space="preserve">  /runtime-contracts   # schemas, IDs, commands, events, reports, artifacts</w:t>
            </w:r>
            <w:r>
              <w:br/>
            </w:r>
            <w:r>
              <w:rPr>
                <w:rFonts w:ascii="Consolas" w:hAnsi="Consolas"/>
                <w:color w:val="263442"/>
                <w:sz w:val="17"/>
              </w:rPr>
              <w:t xml:space="preserve">  /state               # repositories, event log, outbox, projections</w:t>
            </w:r>
            <w:r>
              <w:br/>
            </w:r>
            <w:r>
              <w:rPr>
                <w:rFonts w:ascii="Consolas" w:hAnsi="Consolas"/>
                <w:color w:val="263442"/>
                <w:sz w:val="17"/>
              </w:rPr>
              <w:t xml:space="preserve">  /artifact-registry   # immutable metadata and object-store operations</w:t>
            </w:r>
            <w:r>
              <w:br/>
            </w:r>
            <w:r>
              <w:rPr>
                <w:rFonts w:ascii="Consolas" w:hAnsi="Consolas"/>
                <w:color w:val="263442"/>
                <w:sz w:val="17"/>
              </w:rPr>
              <w:t xml:space="preserve">  /workflow            # coordinator, plan execution, recovery contracts</w:t>
            </w:r>
            <w:r>
              <w:br/>
            </w:r>
            <w:r>
              <w:rPr>
                <w:rFonts w:ascii="Consolas" w:hAnsi="Consolas"/>
                <w:color w:val="263442"/>
                <w:sz w:val="17"/>
              </w:rPr>
              <w:t xml:space="preserve">  /harness-core        # factory, context, tools, models, hooks, validators</w:t>
            </w:r>
            <w:r>
              <w:br/>
            </w:r>
            <w:r>
              <w:rPr>
                <w:rFonts w:ascii="Consolas" w:hAnsi="Consolas"/>
                <w:color w:val="263442"/>
                <w:sz w:val="17"/>
              </w:rPr>
              <w:t xml:space="preserve">  /cline-adapter       # sole package importing Cline SDK runtime APIs</w:t>
            </w:r>
            <w:r>
              <w:br/>
            </w:r>
            <w:r>
              <w:rPr>
                <w:rFonts w:ascii="Consolas" w:hAnsi="Consolas"/>
                <w:color w:val="263442"/>
                <w:sz w:val="17"/>
              </w:rPr>
              <w:t xml:space="preserve">  /orchestrator        # Tier 0 planning and aggregation</w:t>
            </w:r>
            <w:r>
              <w:br/>
            </w:r>
            <w:r>
              <w:rPr>
                <w:rFonts w:ascii="Consolas" w:hAnsi="Consolas"/>
                <w:color w:val="263442"/>
                <w:sz w:val="17"/>
              </w:rPr>
              <w:t xml:space="preserve">  /specialists         # Tier 1 domain packages</w:t>
            </w:r>
            <w:r>
              <w:br/>
            </w:r>
            <w:r>
              <w:rPr>
                <w:rFonts w:ascii="Consolas" w:hAnsi="Consolas"/>
                <w:color w:val="263442"/>
                <w:sz w:val="17"/>
              </w:rPr>
              <w:t xml:space="preserve">  /tasks               # Tier 2 coding, plugin-backed, deterministic tasks</w:t>
            </w:r>
            <w:r>
              <w:br/>
            </w:r>
            <w:r>
              <w:rPr>
                <w:rFonts w:ascii="Consolas" w:hAnsi="Consolas"/>
                <w:color w:val="263442"/>
                <w:sz w:val="17"/>
              </w:rPr>
              <w:t xml:space="preserve">  /policy              # authority, policy, approvals, action digests</w:t>
            </w:r>
            <w:r>
              <w:br/>
            </w:r>
            <w:r>
              <w:rPr>
                <w:rFonts w:ascii="Consolas" w:hAnsi="Consolas"/>
                <w:color w:val="263442"/>
                <w:sz w:val="17"/>
              </w:rPr>
              <w:t xml:space="preserve">  /finops              # reservations, metering, reconciliation</w:t>
            </w:r>
            <w:r>
              <w:br/>
            </w:r>
            <w:r>
              <w:rPr>
                <w:rFonts w:ascii="Consolas" w:hAnsi="Consolas"/>
                <w:color w:val="263442"/>
                <w:sz w:val="17"/>
              </w:rPr>
              <w:t xml:space="preserve">  /backends            # compute, experiments, catalog, secret, serving adapters</w:t>
            </w:r>
            <w:r>
              <w:br/>
            </w:r>
            <w:r>
              <w:rPr>
                <w:rFonts w:ascii="Consolas" w:hAnsi="Consolas"/>
                <w:color w:val="263442"/>
                <w:sz w:val="17"/>
              </w:rPr>
              <w:t xml:space="preserve">  /observability       # tracing, audit, redaction, usage</w:t>
            </w:r>
            <w:r>
              <w:br/>
            </w:r>
            <w:r>
              <w:rPr>
                <w:rFonts w:ascii="Consolas" w:hAnsi="Consolas"/>
                <w:color w:val="263442"/>
                <w:sz w:val="17"/>
              </w:rPr>
              <w:t xml:space="preserve">  /testkit             # fixtures, fakes, contract and invariant suites</w:t>
            </w:r>
            <w:r>
              <w:br/>
            </w:r>
            <w:r>
              <w:rPr>
                <w:rFonts w:ascii="Consolas" w:hAnsi="Consolas"/>
                <w:color w:val="263442"/>
                <w:sz w:val="17"/>
              </w:rPr>
              <w:t xml:space="preserve">  /config              # typed configuration and environment validation</w:t>
            </w:r>
            <w:r>
              <w:br/>
            </w:r>
            <w:r>
              <w:rPr>
                <w:rFonts w:ascii="Consolas" w:hAnsi="Consolas"/>
                <w:color w:val="263442"/>
                <w:sz w:val="17"/>
              </w:rPr>
              <w:t>/db</w:t>
            </w:r>
            <w:r>
              <w:br/>
            </w:r>
            <w:r>
              <w:rPr>
                <w:rFonts w:ascii="Consolas" w:hAnsi="Consolas"/>
                <w:color w:val="263442"/>
                <w:sz w:val="17"/>
              </w:rPr>
              <w:t xml:space="preserve">  /migrations/postgres</w:t>
            </w:r>
            <w:r>
              <w:br/>
            </w:r>
            <w:r>
              <w:rPr>
                <w:rFonts w:ascii="Consolas" w:hAnsi="Consolas"/>
                <w:color w:val="263442"/>
                <w:sz w:val="17"/>
              </w:rPr>
              <w:t xml:space="preserve">  /migrations/sqlite</w:t>
            </w:r>
            <w:r>
              <w:br/>
            </w:r>
            <w:r>
              <w:rPr>
                <w:rFonts w:ascii="Consolas" w:hAnsi="Consolas"/>
                <w:color w:val="263442"/>
                <w:sz w:val="17"/>
              </w:rPr>
              <w:t xml:space="preserve">  /seeds</w:t>
            </w:r>
            <w:r>
              <w:br/>
            </w:r>
            <w:r>
              <w:rPr>
                <w:rFonts w:ascii="Consolas" w:hAnsi="Consolas"/>
                <w:color w:val="263442"/>
                <w:sz w:val="17"/>
              </w:rPr>
              <w:t>/deploy</w:t>
            </w:r>
            <w:r>
              <w:br/>
            </w:r>
            <w:r>
              <w:rPr>
                <w:rFonts w:ascii="Consolas" w:hAnsi="Consolas"/>
                <w:color w:val="263442"/>
                <w:sz w:val="17"/>
              </w:rPr>
              <w:t xml:space="preserve">  /compose</w:t>
            </w:r>
            <w:r>
              <w:br/>
            </w:r>
            <w:r>
              <w:rPr>
                <w:rFonts w:ascii="Consolas" w:hAnsi="Consolas"/>
                <w:color w:val="263442"/>
                <w:sz w:val="17"/>
              </w:rPr>
              <w:t xml:space="preserve">  /kubernetes</w:t>
            </w:r>
            <w:r>
              <w:br/>
            </w:r>
            <w:r>
              <w:rPr>
                <w:rFonts w:ascii="Consolas" w:hAnsi="Consolas"/>
                <w:color w:val="263442"/>
                <w:sz w:val="17"/>
              </w:rPr>
              <w:t xml:space="preserve">  /opa</w:t>
            </w:r>
            <w:r>
              <w:br/>
            </w:r>
            <w:r>
              <w:rPr>
                <w:rFonts w:ascii="Consolas" w:hAnsi="Consolas"/>
                <w:color w:val="263442"/>
                <w:sz w:val="17"/>
              </w:rPr>
              <w:t xml:space="preserve">  /temporal</w:t>
            </w:r>
            <w:r>
              <w:br/>
            </w:r>
            <w:r>
              <w:rPr>
                <w:rFonts w:ascii="Consolas" w:hAnsi="Consolas"/>
                <w:color w:val="263442"/>
                <w:sz w:val="17"/>
              </w:rPr>
              <w:t>/docs</w:t>
            </w:r>
            <w:r>
              <w:br/>
            </w:r>
            <w:r>
              <w:rPr>
                <w:rFonts w:ascii="Consolas" w:hAnsi="Consolas"/>
                <w:color w:val="263442"/>
                <w:sz w:val="17"/>
              </w:rPr>
              <w:t xml:space="preserve">  /adr</w:t>
            </w:r>
            <w:r>
              <w:br/>
            </w:r>
            <w:r>
              <w:rPr>
                <w:rFonts w:ascii="Consolas" w:hAnsi="Consolas"/>
                <w:color w:val="263442"/>
                <w:sz w:val="17"/>
              </w:rPr>
              <w:t xml:space="preserve">  /contracts</w:t>
            </w:r>
            <w:r>
              <w:br/>
            </w:r>
            <w:r>
              <w:rPr>
                <w:rFonts w:ascii="Consolas" w:hAnsi="Consolas"/>
                <w:color w:val="263442"/>
                <w:sz w:val="17"/>
              </w:rPr>
              <w:t xml:space="preserve">  /runbooks</w:t>
            </w:r>
            <w:r>
              <w:br/>
            </w:r>
            <w:r>
              <w:rPr>
                <w:rFonts w:ascii="Consolas" w:hAnsi="Consolas"/>
                <w:color w:val="263442"/>
                <w:sz w:val="17"/>
              </w:rPr>
              <w:t xml:space="preserve">  /threat-models</w:t>
            </w:r>
            <w:r>
              <w:br/>
            </w:r>
            <w:r>
              <w:rPr>
                <w:rFonts w:ascii="Consolas" w:hAnsi="Consolas"/>
                <w:color w:val="263442"/>
                <w:sz w:val="17"/>
              </w:rPr>
              <w:t xml:space="preserve">  /examples</w:t>
            </w:r>
            <w:r>
              <w:br/>
            </w:r>
            <w:r>
              <w:rPr>
                <w:rFonts w:ascii="Consolas" w:hAnsi="Consolas"/>
                <w:color w:val="263442"/>
                <w:sz w:val="17"/>
              </w:rPr>
              <w:t>/scripts</w:t>
            </w:r>
          </w:p>
        </w:tc>
      </w:tr>
    </w:tbl>
    <w:p>
      <w:pPr>
        <w:spacing w:after="0"/>
      </w:pPr>
    </w:p>
    <w:p>
      <w:pPr>
        <w:pStyle w:val="Heading2"/>
        <w:keepNext w:val="1"/>
      </w:pPr>
      <w:r>
        <w:rPr>
          <w:rFonts w:ascii="Calibri" w:hAnsi="Calibri"/>
          <w:b/>
          <w:color w:val="2E74B5"/>
          <w:sz w:val="26"/>
        </w:rPr>
        <w:t>4.1 Dependency rules</w:t>
      </w:r>
    </w:p>
    <w:p>
      <w:pPr>
        <w:spacing w:after="80" w:line="300" w:lineRule="auto"/>
        <w:numPr>
          <w:ilvl w:val="0"/>
          <w:numId w:val="10"/>
        </w:numPr>
      </w:pPr>
      <w:r>
        <w:rPr>
          <w:rFonts w:ascii="Consolas" w:hAnsi="Consolas"/>
          <w:color w:val="1F4D78"/>
          <w:sz w:val="20"/>
        </w:rPr>
        <w:t>runtime-contracts</w:t>
      </w:r>
      <w:r>
        <w:rPr>
          <w:rFonts w:ascii="Calibri" w:hAnsi="Calibri"/>
          <w:sz w:val="22"/>
        </w:rPr>
        <w:t xml:space="preserve"> imports no internal package.</w:t>
      </w:r>
    </w:p>
    <w:p>
      <w:pPr>
        <w:spacing w:after="80" w:line="300" w:lineRule="auto"/>
        <w:numPr>
          <w:ilvl w:val="0"/>
          <w:numId w:val="10"/>
        </w:numPr>
      </w:pPr>
      <w:r>
        <w:rPr>
          <w:rFonts w:ascii="Calibri" w:hAnsi="Calibri"/>
          <w:sz w:val="22"/>
        </w:rPr>
        <w:t>Domain packages depend on ports/interfaces, never concrete hosted adapters.</w:t>
      </w:r>
    </w:p>
    <w:p>
      <w:pPr>
        <w:spacing w:after="80" w:line="300" w:lineRule="auto"/>
        <w:numPr>
          <w:ilvl w:val="0"/>
          <w:numId w:val="10"/>
        </w:numPr>
      </w:pPr>
      <w:r>
        <w:rPr>
          <w:rFonts w:ascii="Consolas" w:hAnsi="Consolas"/>
          <w:color w:val="1F4D78"/>
          <w:sz w:val="20"/>
        </w:rPr>
        <w:t>cline-adapter</w:t>
      </w:r>
      <w:r>
        <w:rPr>
          <w:rFonts w:ascii="Calibri" w:hAnsi="Calibri"/>
          <w:sz w:val="22"/>
        </w:rPr>
        <w:t xml:space="preserve"> may import Cline SDK packages; no other package may do so.</w:t>
      </w:r>
    </w:p>
    <w:p>
      <w:pPr>
        <w:spacing w:after="80" w:line="300" w:lineRule="auto"/>
        <w:numPr>
          <w:ilvl w:val="0"/>
          <w:numId w:val="10"/>
        </w:numPr>
      </w:pPr>
      <w:r>
        <w:rPr>
          <w:rFonts w:ascii="Consolas" w:hAnsi="Consolas"/>
          <w:color w:val="1F4D78"/>
          <w:sz w:val="20"/>
        </w:rPr>
        <w:t>apps/web</w:t>
      </w:r>
      <w:r>
        <w:rPr>
          <w:rFonts w:ascii="Calibri" w:hAnsi="Calibri"/>
          <w:sz w:val="22"/>
        </w:rPr>
        <w:t xml:space="preserve"> consumes generated API types and projection DTOs only.</w:t>
      </w:r>
    </w:p>
    <w:p>
      <w:pPr>
        <w:spacing w:after="80" w:line="300" w:lineRule="auto"/>
        <w:numPr>
          <w:ilvl w:val="0"/>
          <w:numId w:val="10"/>
        </w:numPr>
      </w:pPr>
      <w:r>
        <w:rPr>
          <w:rFonts w:ascii="Consolas" w:hAnsi="Consolas"/>
          <w:color w:val="1F4D78"/>
          <w:sz w:val="20"/>
        </w:rPr>
        <w:t>tasks</w:t>
      </w:r>
      <w:r>
        <w:rPr>
          <w:rFonts w:ascii="Calibri" w:hAnsi="Calibri"/>
          <w:sz w:val="22"/>
        </w:rPr>
        <w:t xml:space="preserve"> may not import </w:t>
      </w:r>
      <w:r>
        <w:rPr>
          <w:rFonts w:ascii="Consolas" w:hAnsi="Consolas"/>
          <w:color w:val="1F4D78"/>
          <w:sz w:val="20"/>
        </w:rPr>
        <w:t>orchestrator</w:t>
      </w:r>
      <w:r>
        <w:rPr>
          <w:rFonts w:ascii="Calibri" w:hAnsi="Calibri"/>
          <w:sz w:val="22"/>
        </w:rPr>
        <w:t xml:space="preserve"> or any specialist package.</w:t>
      </w:r>
    </w:p>
    <w:p>
      <w:pPr>
        <w:spacing w:after="80" w:line="300" w:lineRule="auto"/>
        <w:numPr>
          <w:ilvl w:val="0"/>
          <w:numId w:val="10"/>
        </w:numPr>
      </w:pPr>
      <w:r>
        <w:rPr>
          <w:rFonts w:ascii="Calibri" w:hAnsi="Calibri"/>
          <w:sz w:val="22"/>
        </w:rPr>
        <w:t xml:space="preserve">Specialists may invoke Tier 2 through </w:t>
      </w:r>
      <w:r>
        <w:rPr>
          <w:rFonts w:ascii="Consolas" w:hAnsi="Consolas"/>
          <w:color w:val="1F4D78"/>
          <w:sz w:val="20"/>
        </w:rPr>
        <w:t>InvocationService</w:t>
      </w:r>
      <w:r>
        <w:rPr>
          <w:rFonts w:ascii="Calibri" w:hAnsi="Calibri"/>
          <w:sz w:val="22"/>
        </w:rPr>
        <w:t>; they may not instantiate task harnesses directly.</w:t>
      </w:r>
    </w:p>
    <w:p>
      <w:pPr>
        <w:spacing w:after="80" w:line="300" w:lineRule="auto"/>
        <w:numPr>
          <w:ilvl w:val="0"/>
          <w:numId w:val="10"/>
        </w:numPr>
      </w:pPr>
      <w:r>
        <w:rPr>
          <w:rFonts w:ascii="Calibri" w:hAnsi="Calibri"/>
          <w:sz w:val="22"/>
        </w:rPr>
        <w:t>Database, event bus, secret manager, model provider, experiment tracker, scheduler, and serving clients live only under adapter packages.</w:t>
      </w:r>
    </w:p>
    <w:p>
      <w:pPr>
        <w:spacing w:after="80" w:line="300" w:lineRule="auto"/>
        <w:numPr>
          <w:ilvl w:val="0"/>
          <w:numId w:val="10"/>
        </w:numPr>
      </w:pPr>
      <w:r>
        <w:rPr>
          <w:rFonts w:ascii="Calibri" w:hAnsi="Calibri"/>
          <w:sz w:val="22"/>
        </w:rPr>
        <w:t>Circular package dependencies are prohibited and checked in CI.</w:t>
      </w:r>
    </w:p>
    <w:p>
      <w:pPr>
        <w:pStyle w:val="Heading1"/>
        <w:keepNext w:val="1"/>
      </w:pPr>
      <w:r>
        <w:rPr>
          <w:rFonts w:ascii="Calibri" w:hAnsi="Calibri"/>
          <w:b/>
          <w:color w:val="2E74B5"/>
          <w:sz w:val="32"/>
        </w:rPr>
        <w:t>5. Canonical Domain Conventions</w:t>
      </w:r>
    </w:p>
    <w:p>
      <w:pPr>
        <w:pStyle w:val="Heading2"/>
        <w:keepNext w:val="1"/>
      </w:pPr>
      <w:r>
        <w:rPr>
          <w:rFonts w:ascii="Calibri" w:hAnsi="Calibri"/>
          <w:b/>
          <w:color w:val="2E74B5"/>
          <w:sz w:val="26"/>
        </w:rPr>
        <w:t>5.1 Identifiers and time</w:t>
      </w:r>
    </w:p>
    <w:p>
      <w:pPr>
        <w:spacing w:after="80" w:line="300" w:lineRule="auto"/>
        <w:numPr>
          <w:ilvl w:val="0"/>
          <w:numId w:val="10"/>
        </w:numPr>
      </w:pPr>
      <w:r>
        <w:rPr>
          <w:rFonts w:ascii="Calibri" w:hAnsi="Calibri"/>
          <w:sz w:val="22"/>
        </w:rPr>
        <w:t xml:space="preserve">Use opaque, sortable ULIDs with type prefixes: </w:t>
      </w:r>
      <w:r>
        <w:rPr>
          <w:rFonts w:ascii="Consolas" w:hAnsi="Consolas"/>
          <w:color w:val="1F4D78"/>
          <w:sz w:val="20"/>
        </w:rPr>
        <w:t>cmd_</w:t>
      </w:r>
      <w:r>
        <w:rPr>
          <w:rFonts w:ascii="Calibri" w:hAnsi="Calibri"/>
          <w:sz w:val="22"/>
        </w:rPr>
        <w:t xml:space="preserve">, </w:t>
      </w:r>
      <w:r>
        <w:rPr>
          <w:rFonts w:ascii="Consolas" w:hAnsi="Consolas"/>
          <w:color w:val="1F4D78"/>
          <w:sz w:val="20"/>
        </w:rPr>
        <w:t>wf_</w:t>
      </w:r>
      <w:r>
        <w:rPr>
          <w:rFonts w:ascii="Calibri" w:hAnsi="Calibri"/>
          <w:sz w:val="22"/>
        </w:rPr>
        <w:t xml:space="preserve">, </w:t>
      </w:r>
      <w:r>
        <w:rPr>
          <w:rFonts w:ascii="Consolas" w:hAnsi="Consolas"/>
          <w:color w:val="1F4D78"/>
          <w:sz w:val="20"/>
        </w:rPr>
        <w:t>inv_</w:t>
      </w:r>
      <w:r>
        <w:rPr>
          <w:rFonts w:ascii="Calibri" w:hAnsi="Calibri"/>
          <w:sz w:val="22"/>
        </w:rPr>
        <w:t xml:space="preserve">, </w:t>
      </w:r>
      <w:r>
        <w:rPr>
          <w:rFonts w:ascii="Consolas" w:hAnsi="Consolas"/>
          <w:color w:val="1F4D78"/>
          <w:sz w:val="20"/>
        </w:rPr>
        <w:t>art_</w:t>
      </w:r>
      <w:r>
        <w:rPr>
          <w:rFonts w:ascii="Calibri" w:hAnsi="Calibri"/>
          <w:sz w:val="22"/>
        </w:rPr>
        <w:t xml:space="preserve">, </w:t>
      </w:r>
      <w:r>
        <w:rPr>
          <w:rFonts w:ascii="Consolas" w:hAnsi="Consolas"/>
          <w:color w:val="1F4D78"/>
          <w:sz w:val="20"/>
        </w:rPr>
        <w:t>evt_</w:t>
      </w:r>
      <w:r>
        <w:rPr>
          <w:rFonts w:ascii="Calibri" w:hAnsi="Calibri"/>
          <w:sz w:val="22"/>
        </w:rPr>
        <w:t xml:space="preserve">, </w:t>
      </w:r>
      <w:r>
        <w:rPr>
          <w:rFonts w:ascii="Consolas" w:hAnsi="Consolas"/>
          <w:color w:val="1F4D78"/>
          <w:sz w:val="20"/>
        </w:rPr>
        <w:t>apr_</w:t>
      </w:r>
      <w:r>
        <w:rPr>
          <w:rFonts w:ascii="Calibri" w:hAnsi="Calibri"/>
          <w:sz w:val="22"/>
        </w:rPr>
        <w:t xml:space="preserve">, </w:t>
      </w:r>
      <w:r>
        <w:rPr>
          <w:rFonts w:ascii="Consolas" w:hAnsi="Consolas"/>
          <w:color w:val="1F4D78"/>
          <w:sz w:val="20"/>
        </w:rPr>
        <w:t>bud_</w:t>
      </w:r>
      <w:r>
        <w:rPr>
          <w:rFonts w:ascii="Calibri" w:hAnsi="Calibri"/>
          <w:sz w:val="22"/>
        </w:rPr>
        <w:t xml:space="preserve">, </w:t>
      </w:r>
      <w:r>
        <w:rPr>
          <w:rFonts w:ascii="Consolas" w:hAnsi="Consolas"/>
          <w:color w:val="1F4D78"/>
          <w:sz w:val="20"/>
        </w:rPr>
        <w:t>pol_</w:t>
      </w:r>
      <w:r>
        <w:rPr>
          <w:rFonts w:ascii="Calibri" w:hAnsi="Calibri"/>
          <w:sz w:val="22"/>
        </w:rPr>
        <w:t xml:space="preserve">, </w:t>
      </w:r>
      <w:r>
        <w:rPr>
          <w:rFonts w:ascii="Consolas" w:hAnsi="Consolas"/>
          <w:color w:val="1F4D78"/>
          <w:sz w:val="20"/>
        </w:rPr>
        <w:t>run_</w:t>
      </w:r>
      <w:r>
        <w:rPr>
          <w:rFonts w:ascii="Calibri" w:hAnsi="Calibri"/>
          <w:sz w:val="22"/>
        </w:rPr>
        <w:t>.</w:t>
      </w:r>
    </w:p>
    <w:p>
      <w:pPr>
        <w:spacing w:after="80" w:line="300" w:lineRule="auto"/>
        <w:numPr>
          <w:ilvl w:val="0"/>
          <w:numId w:val="10"/>
        </w:numPr>
      </w:pPr>
      <w:r>
        <w:rPr>
          <w:rFonts w:ascii="Calibri" w:hAnsi="Calibri"/>
          <w:sz w:val="22"/>
        </w:rPr>
        <w:t>Persist timestamps as UTC and serialize as RFC 3339 strings.</w:t>
      </w:r>
    </w:p>
    <w:p>
      <w:pPr>
        <w:spacing w:after="80" w:line="300" w:lineRule="auto"/>
        <w:numPr>
          <w:ilvl w:val="0"/>
          <w:numId w:val="10"/>
        </w:numPr>
      </w:pPr>
      <w:r>
        <w:rPr>
          <w:rFonts w:ascii="Calibri" w:hAnsi="Calibri"/>
          <w:sz w:val="22"/>
        </w:rPr>
        <w:t>Never derive authorization from an ID prefix.</w:t>
      </w:r>
    </w:p>
    <w:p>
      <w:pPr>
        <w:spacing w:after="80" w:line="300" w:lineRule="auto"/>
        <w:numPr>
          <w:ilvl w:val="0"/>
          <w:numId w:val="10"/>
        </w:numPr>
      </w:pPr>
      <w:r>
        <w:rPr>
          <w:rFonts w:ascii="Calibri" w:hAnsi="Calibri"/>
          <w:sz w:val="22"/>
        </w:rPr>
        <w:t>Accept caller idempotency keys separately from server-generated IDs.</w:t>
      </w:r>
    </w:p>
    <w:p>
      <w:pPr>
        <w:pStyle w:val="Heading2"/>
        <w:keepNext w:val="1"/>
      </w:pPr>
      <w:r>
        <w:rPr>
          <w:rFonts w:ascii="Calibri" w:hAnsi="Calibri"/>
          <w:b/>
          <w:color w:val="2E74B5"/>
          <w:sz w:val="26"/>
        </w:rPr>
        <w:t>5.2 Money and quantities</w:t>
      </w:r>
    </w:p>
    <w:p>
      <w:pPr>
        <w:spacing w:after="80" w:line="300" w:lineRule="auto"/>
        <w:numPr>
          <w:ilvl w:val="0"/>
          <w:numId w:val="10"/>
        </w:numPr>
      </w:pPr>
      <w:r>
        <w:rPr>
          <w:rFonts w:ascii="Calibri" w:hAnsi="Calibri"/>
          <w:sz w:val="22"/>
        </w:rPr>
        <w:t>Store money as integer minor units plus ISO 4217 currency.</w:t>
      </w:r>
    </w:p>
    <w:p>
      <w:pPr>
        <w:spacing w:after="80" w:line="300" w:lineRule="auto"/>
        <w:numPr>
          <w:ilvl w:val="0"/>
          <w:numId w:val="10"/>
        </w:numPr>
      </w:pPr>
      <w:r>
        <w:rPr>
          <w:rFonts w:ascii="Calibri" w:hAnsi="Calibri"/>
          <w:sz w:val="22"/>
        </w:rPr>
        <w:t>Store measured usage separately from estimated cost.</w:t>
      </w:r>
    </w:p>
    <w:p>
      <w:pPr>
        <w:spacing w:after="80" w:line="300" w:lineRule="auto"/>
        <w:numPr>
          <w:ilvl w:val="0"/>
          <w:numId w:val="10"/>
        </w:numPr>
      </w:pPr>
      <w:r>
        <w:rPr>
          <w:rFonts w:ascii="Calibri" w:hAnsi="Calibri"/>
          <w:sz w:val="22"/>
        </w:rPr>
        <w:t>A hard limit is enforced before reservation and again before commit.</w:t>
      </w:r>
    </w:p>
    <w:p>
      <w:pPr>
        <w:spacing w:after="80" w:line="300" w:lineRule="auto"/>
        <w:numPr>
          <w:ilvl w:val="0"/>
          <w:numId w:val="10"/>
        </w:numPr>
      </w:pPr>
      <w:r>
        <w:rPr>
          <w:rFonts w:ascii="Calibri" w:hAnsi="Calibri"/>
          <w:sz w:val="22"/>
        </w:rPr>
        <w:t>Floating-point numbers may represent metrics, not currency.</w:t>
      </w:r>
    </w:p>
    <w:p>
      <w:pPr>
        <w:pStyle w:val="Heading2"/>
        <w:keepNext w:val="1"/>
      </w:pPr>
      <w:r>
        <w:rPr>
          <w:rFonts w:ascii="Calibri" w:hAnsi="Calibri"/>
          <w:b/>
          <w:color w:val="2E74B5"/>
          <w:sz w:val="26"/>
        </w:rPr>
        <w:t>5.3 Schema and event versioning</w:t>
      </w:r>
    </w:p>
    <w:p>
      <w:pPr>
        <w:spacing w:after="80" w:line="300" w:lineRule="auto"/>
        <w:numPr>
          <w:ilvl w:val="0"/>
          <w:numId w:val="10"/>
        </w:numPr>
      </w:pPr>
      <w:r>
        <w:rPr>
          <w:rFonts w:ascii="Calibri" w:hAnsi="Calibri"/>
          <w:sz w:val="22"/>
        </w:rPr>
        <w:t xml:space="preserve">Every external schema includes </w:t>
      </w:r>
      <w:r>
        <w:rPr>
          <w:rFonts w:ascii="Consolas" w:hAnsi="Consolas"/>
          <w:color w:val="1F4D78"/>
          <w:sz w:val="20"/>
        </w:rPr>
        <w:t>schemaVersion</w:t>
      </w:r>
      <w:r>
        <w:rPr>
          <w:rFonts w:ascii="Calibri" w:hAnsi="Calibri"/>
          <w:sz w:val="22"/>
        </w:rPr>
        <w:t>.</w:t>
      </w:r>
    </w:p>
    <w:p>
      <w:pPr>
        <w:spacing w:after="80" w:line="300" w:lineRule="auto"/>
        <w:numPr>
          <w:ilvl w:val="0"/>
          <w:numId w:val="10"/>
        </w:numPr>
      </w:pPr>
      <w:r>
        <w:rPr>
          <w:rFonts w:ascii="Calibri" w:hAnsi="Calibri"/>
          <w:sz w:val="22"/>
        </w:rPr>
        <w:t xml:space="preserve">Event names are versioned, for example </w:t>
      </w:r>
      <w:r>
        <w:rPr>
          <w:rFonts w:ascii="Consolas" w:hAnsi="Consolas"/>
          <w:color w:val="1F4D78"/>
          <w:sz w:val="20"/>
        </w:rPr>
        <w:t>workflow.planned.v1</w:t>
      </w:r>
      <w:r>
        <w:rPr>
          <w:rFonts w:ascii="Calibri" w:hAnsi="Calibri"/>
          <w:sz w:val="22"/>
        </w:rPr>
        <w:t>.</w:t>
      </w:r>
    </w:p>
    <w:p>
      <w:pPr>
        <w:spacing w:after="80" w:line="300" w:lineRule="auto"/>
        <w:numPr>
          <w:ilvl w:val="0"/>
          <w:numId w:val="10"/>
        </w:numPr>
      </w:pPr>
      <w:r>
        <w:rPr>
          <w:rFonts w:ascii="Calibri" w:hAnsi="Calibri"/>
          <w:sz w:val="22"/>
        </w:rPr>
        <w:t>Additive backward-compatible fields are optional at first release.</w:t>
      </w:r>
    </w:p>
    <w:p>
      <w:pPr>
        <w:spacing w:after="80" w:line="300" w:lineRule="auto"/>
        <w:numPr>
          <w:ilvl w:val="0"/>
          <w:numId w:val="10"/>
        </w:numPr>
      </w:pPr>
      <w:r>
        <w:rPr>
          <w:rFonts w:ascii="Calibri" w:hAnsi="Calibri"/>
          <w:sz w:val="22"/>
        </w:rPr>
        <w:t>Breaking changes require a new schema/event version plus upcaster or dual-read migration.</w:t>
      </w:r>
    </w:p>
    <w:p>
      <w:pPr>
        <w:spacing w:after="80" w:line="300" w:lineRule="auto"/>
        <w:numPr>
          <w:ilvl w:val="0"/>
          <w:numId w:val="10"/>
        </w:numPr>
      </w:pPr>
      <w:r>
        <w:rPr>
          <w:rFonts w:ascii="Calibri" w:hAnsi="Calibri"/>
          <w:sz w:val="22"/>
        </w:rPr>
        <w:t>Persist raw event payloads exactly as accepted; projections may use normalized tables.</w:t>
      </w:r>
    </w:p>
    <w:p>
      <w:pPr>
        <w:spacing w:after="80" w:line="300" w:lineRule="auto"/>
        <w:numPr>
          <w:ilvl w:val="0"/>
          <w:numId w:val="10"/>
        </w:numPr>
      </w:pPr>
      <w:r>
        <w:rPr>
          <w:rFonts w:ascii="Calibri" w:hAnsi="Calibri"/>
          <w:sz w:val="22"/>
        </w:rPr>
        <w:t>Generated OpenAPI and JSON Schemas are committed and checked for drift.</w:t>
      </w:r>
    </w:p>
    <w:p>
      <w:pPr>
        <w:pStyle w:val="Heading2"/>
        <w:keepNext w:val="1"/>
      </w:pPr>
      <w:r>
        <w:rPr>
          <w:rFonts w:ascii="Calibri" w:hAnsi="Calibri"/>
          <w:b/>
          <w:color w:val="2E74B5"/>
          <w:sz w:val="26"/>
        </w:rPr>
        <w:t>5.4 Artifact identity</w:t>
      </w:r>
    </w:p>
    <w:p>
      <w:pPr>
        <w:spacing w:after="120" w:line="300" w:lineRule="auto"/>
      </w:pPr>
      <w:r>
        <w:rPr>
          <w:rFonts w:ascii="Calibri" w:hAnsi="Calibri"/>
          <w:sz w:val="22"/>
        </w:rPr>
        <w:t xml:space="preserve">An artifact has a stable logical identity and immutable versions. Use </w:t>
      </w:r>
      <w:r>
        <w:rPr>
          <w:rFonts w:ascii="Consolas" w:hAnsi="Consolas"/>
          <w:color w:val="1F4D78"/>
          <w:sz w:val="20"/>
        </w:rPr>
        <w:t>(tenant_id, artifact_id, version)</w:t>
      </w:r>
      <w:r>
        <w:rPr>
          <w:rFonts w:ascii="Calibri" w:hAnsi="Calibri"/>
          <w:sz w:val="22"/>
        </w:rPr>
        <w:t xml:space="preserve"> as the version key. Each published version includes:</w:t>
      </w:r>
    </w:p>
    <w:p>
      <w:pPr>
        <w:spacing w:after="80" w:line="300" w:lineRule="auto"/>
        <w:numPr>
          <w:ilvl w:val="0"/>
          <w:numId w:val="10"/>
        </w:numPr>
      </w:pPr>
      <w:r>
        <w:rPr>
          <w:rFonts w:ascii="Calibri" w:hAnsi="Calibri"/>
          <w:sz w:val="22"/>
        </w:rPr>
        <w:t>canonical content hash using SHA-256;</w:t>
      </w:r>
    </w:p>
    <w:p>
      <w:pPr>
        <w:spacing w:after="80" w:line="300" w:lineRule="auto"/>
        <w:numPr>
          <w:ilvl w:val="0"/>
          <w:numId w:val="10"/>
        </w:numPr>
      </w:pPr>
      <w:r>
        <w:rPr>
          <w:rFonts w:ascii="Calibri" w:hAnsi="Calibri"/>
          <w:sz w:val="22"/>
        </w:rPr>
        <w:t>object URI or inline content reference;</w:t>
      </w:r>
    </w:p>
    <w:p>
      <w:pPr>
        <w:spacing w:after="80" w:line="300" w:lineRule="auto"/>
        <w:numPr>
          <w:ilvl w:val="0"/>
          <w:numId w:val="10"/>
        </w:numPr>
      </w:pPr>
      <w:r>
        <w:rPr>
          <w:rFonts w:ascii="Calibri" w:hAnsi="Calibri"/>
          <w:sz w:val="22"/>
        </w:rPr>
        <w:t>media type and byte size;</w:t>
      </w:r>
    </w:p>
    <w:p>
      <w:pPr>
        <w:spacing w:after="80" w:line="300" w:lineRule="auto"/>
        <w:numPr>
          <w:ilvl w:val="0"/>
          <w:numId w:val="10"/>
        </w:numPr>
      </w:pPr>
      <w:r>
        <w:rPr>
          <w:rFonts w:ascii="Calibri" w:hAnsi="Calibri"/>
          <w:sz w:val="22"/>
        </w:rPr>
        <w:t>creator actor and optional invocation;</w:t>
      </w:r>
    </w:p>
    <w:p>
      <w:pPr>
        <w:spacing w:after="80" w:line="300" w:lineRule="auto"/>
        <w:numPr>
          <w:ilvl w:val="0"/>
          <w:numId w:val="10"/>
        </w:numPr>
      </w:pPr>
      <w:r>
        <w:rPr>
          <w:rFonts w:ascii="Calibri" w:hAnsi="Calibri"/>
          <w:sz w:val="22"/>
        </w:rPr>
        <w:t>ordered lineage edges;</w:t>
      </w:r>
    </w:p>
    <w:p>
      <w:pPr>
        <w:spacing w:after="80" w:line="300" w:lineRule="auto"/>
        <w:numPr>
          <w:ilvl w:val="0"/>
          <w:numId w:val="10"/>
        </w:numPr>
      </w:pPr>
      <w:r>
        <w:rPr>
          <w:rFonts w:ascii="Calibri" w:hAnsi="Calibri"/>
          <w:sz w:val="22"/>
        </w:rPr>
        <w:t>ownership authority and lock mode;</w:t>
      </w:r>
    </w:p>
    <w:p>
      <w:pPr>
        <w:spacing w:after="80" w:line="300" w:lineRule="auto"/>
        <w:numPr>
          <w:ilvl w:val="0"/>
          <w:numId w:val="10"/>
        </w:numPr>
      </w:pPr>
      <w:r>
        <w:rPr>
          <w:rFonts w:ascii="Calibri" w:hAnsi="Calibri"/>
          <w:sz w:val="22"/>
        </w:rPr>
        <w:t>lifecycle status;</w:t>
      </w:r>
    </w:p>
    <w:p>
      <w:pPr>
        <w:spacing w:after="80" w:line="300" w:lineRule="auto"/>
        <w:numPr>
          <w:ilvl w:val="0"/>
          <w:numId w:val="10"/>
        </w:numPr>
      </w:pPr>
      <w:r>
        <w:rPr>
          <w:rFonts w:ascii="Calibri" w:hAnsi="Calibri"/>
          <w:sz w:val="22"/>
        </w:rPr>
        <w:t>schema type and schema version;</w:t>
      </w:r>
    </w:p>
    <w:p>
      <w:pPr>
        <w:spacing w:after="80" w:line="300" w:lineRule="auto"/>
        <w:numPr>
          <w:ilvl w:val="0"/>
          <w:numId w:val="10"/>
        </w:numPr>
      </w:pPr>
      <w:r>
        <w:rPr>
          <w:rFonts w:ascii="Calibri" w:hAnsi="Calibri"/>
          <w:sz w:val="22"/>
        </w:rPr>
        <w:t>retention and classification metadata.</w:t>
      </w:r>
    </w:p>
    <w:p>
      <w:pPr>
        <w:spacing w:after="120" w:line="300" w:lineRule="auto"/>
      </w:pPr>
      <w:r>
        <w:rPr>
          <w:rFonts w:ascii="Calibri" w:hAnsi="Calibri"/>
          <w:sz w:val="22"/>
        </w:rPr>
        <w:t xml:space="preserve">Object keys follow </w:t>
      </w:r>
      <w:r>
        <w:rPr>
          <w:rFonts w:ascii="Consolas" w:hAnsi="Consolas"/>
          <w:color w:val="1F4D78"/>
          <w:sz w:val="20"/>
        </w:rPr>
        <w:t>tenants/{tenantId}/artifacts/{artifactId}/versions/{version}/{contentHash}</w:t>
      </w:r>
      <w:r>
        <w:rPr>
          <w:rFonts w:ascii="Calibri" w:hAnsi="Calibri"/>
          <w:sz w:val="22"/>
        </w:rPr>
        <w:t>. Never use a user-provided filename as the authoritative identity.</w:t>
      </w:r>
    </w:p>
    <w:p>
      <w:pPr>
        <w:pStyle w:val="Heading2"/>
        <w:keepNext w:val="1"/>
      </w:pPr>
      <w:r>
        <w:rPr>
          <w:rFonts w:ascii="Calibri" w:hAnsi="Calibri"/>
          <w:b/>
          <w:color w:val="2E74B5"/>
          <w:sz w:val="26"/>
        </w:rPr>
        <w:t>5.5 Command commit protocol</w:t>
      </w:r>
    </w:p>
    <w:p>
      <w:pPr>
        <w:spacing w:after="120" w:line="300" w:lineRule="auto"/>
      </w:pPr>
      <w:r>
        <w:rPr>
          <w:rFonts w:ascii="Calibri" w:hAnsi="Calibri"/>
          <w:sz w:val="22"/>
        </w:rPr>
        <w:t>Every mutating command follows this transaction:</w:t>
      </w:r>
    </w:p>
    <w:p>
      <w:pPr>
        <w:spacing w:after="80" w:line="300" w:lineRule="auto"/>
        <w:numPr>
          <w:ilvl w:val="0"/>
          <w:numId w:val="14"/>
        </w:numPr>
      </w:pPr>
      <w:r>
        <w:rPr>
          <w:rFonts w:ascii="Calibri" w:hAnsi="Calibri"/>
          <w:sz w:val="22"/>
        </w:rPr>
        <w:t>Authenticate actor and resolve tenant/workspace membership.</w:t>
      </w:r>
    </w:p>
    <w:p>
      <w:pPr>
        <w:spacing w:after="80" w:line="300" w:lineRule="auto"/>
        <w:numPr>
          <w:ilvl w:val="0"/>
          <w:numId w:val="14"/>
        </w:numPr>
      </w:pPr>
      <w:r>
        <w:rPr>
          <w:rFonts w:ascii="Calibri" w:hAnsi="Calibri"/>
          <w:sz w:val="22"/>
        </w:rPr>
        <w:t>Validate command envelope and typed payload.</w:t>
      </w:r>
    </w:p>
    <w:p>
      <w:pPr>
        <w:spacing w:after="80" w:line="300" w:lineRule="auto"/>
        <w:numPr>
          <w:ilvl w:val="0"/>
          <w:numId w:val="14"/>
        </w:numPr>
      </w:pPr>
      <w:r>
        <w:rPr>
          <w:rFonts w:ascii="Calibri" w:hAnsi="Calibri"/>
          <w:sz w:val="22"/>
        </w:rPr>
        <w:t>Check idempotency key; return the prior result when already committed.</w:t>
      </w:r>
    </w:p>
    <w:p>
      <w:pPr>
        <w:spacing w:after="80" w:line="300" w:lineRule="auto"/>
        <w:numPr>
          <w:ilvl w:val="0"/>
          <w:numId w:val="14"/>
        </w:numPr>
      </w:pPr>
      <w:r>
        <w:rPr>
          <w:rFonts w:ascii="Calibri" w:hAnsi="Calibri"/>
          <w:sz w:val="22"/>
        </w:rPr>
        <w:t xml:space="preserve">Load aggregate version and compare </w:t>
      </w:r>
      <w:r>
        <w:rPr>
          <w:rFonts w:ascii="Consolas" w:hAnsi="Consolas"/>
          <w:color w:val="1F4D78"/>
          <w:sz w:val="20"/>
        </w:rPr>
        <w:t>expectedStateVersion</w:t>
      </w:r>
      <w:r>
        <w:rPr>
          <w:rFonts w:ascii="Calibri" w:hAnsi="Calibri"/>
          <w:sz w:val="22"/>
        </w:rPr>
        <w:t xml:space="preserve"> when supplied.</w:t>
      </w:r>
    </w:p>
    <w:p>
      <w:pPr>
        <w:spacing w:after="80" w:line="300" w:lineRule="auto"/>
        <w:numPr>
          <w:ilvl w:val="0"/>
          <w:numId w:val="14"/>
        </w:numPr>
      </w:pPr>
      <w:r>
        <w:rPr>
          <w:rFonts w:ascii="Calibri" w:hAnsi="Calibri"/>
          <w:sz w:val="22"/>
        </w:rPr>
        <w:t>Evaluate authority and policy.</w:t>
      </w:r>
    </w:p>
    <w:p>
      <w:pPr>
        <w:spacing w:after="80" w:line="300" w:lineRule="auto"/>
        <w:numPr>
          <w:ilvl w:val="0"/>
          <w:numId w:val="14"/>
        </w:numPr>
      </w:pPr>
      <w:r>
        <w:rPr>
          <w:rFonts w:ascii="Calibri" w:hAnsi="Calibri"/>
          <w:sz w:val="22"/>
        </w:rPr>
        <w:t>Validate approval digest for consequential actions.</w:t>
      </w:r>
    </w:p>
    <w:p>
      <w:pPr>
        <w:spacing w:after="80" w:line="300" w:lineRule="auto"/>
        <w:numPr>
          <w:ilvl w:val="0"/>
          <w:numId w:val="14"/>
        </w:numPr>
      </w:pPr>
      <w:r>
        <w:rPr>
          <w:rFonts w:ascii="Calibri" w:hAnsi="Calibri"/>
          <w:sz w:val="22"/>
        </w:rPr>
        <w:t>Reserve budget or compute authority when required.</w:t>
      </w:r>
    </w:p>
    <w:p>
      <w:pPr>
        <w:spacing w:after="80" w:line="300" w:lineRule="auto"/>
        <w:numPr>
          <w:ilvl w:val="0"/>
          <w:numId w:val="14"/>
        </w:numPr>
      </w:pPr>
      <w:r>
        <w:rPr>
          <w:rFonts w:ascii="Calibri" w:hAnsi="Calibri"/>
          <w:sz w:val="22"/>
        </w:rPr>
        <w:t>Apply domain transition.</w:t>
      </w:r>
    </w:p>
    <w:p>
      <w:pPr>
        <w:spacing w:after="80" w:line="300" w:lineRule="auto"/>
        <w:numPr>
          <w:ilvl w:val="0"/>
          <w:numId w:val="14"/>
        </w:numPr>
      </w:pPr>
      <w:r>
        <w:rPr>
          <w:rFonts w:ascii="Calibri" w:hAnsi="Calibri"/>
          <w:sz w:val="22"/>
        </w:rPr>
        <w:t>Append aggregate event and audit record in the same database transaction.</w:t>
      </w:r>
    </w:p>
    <w:p>
      <w:pPr>
        <w:spacing w:after="80" w:line="300" w:lineRule="auto"/>
        <w:numPr>
          <w:ilvl w:val="0"/>
          <w:numId w:val="14"/>
        </w:numPr>
      </w:pPr>
      <w:r>
        <w:rPr>
          <w:rFonts w:ascii="Calibri" w:hAnsi="Calibri"/>
          <w:sz w:val="22"/>
        </w:rPr>
        <w:t>Insert outbox record in the same transaction.</w:t>
      </w:r>
    </w:p>
    <w:p>
      <w:pPr>
        <w:spacing w:after="80" w:line="300" w:lineRule="auto"/>
        <w:numPr>
          <w:ilvl w:val="0"/>
          <w:numId w:val="14"/>
        </w:numPr>
      </w:pPr>
      <w:r>
        <w:rPr>
          <w:rFonts w:ascii="Calibri" w:hAnsi="Calibri"/>
          <w:sz w:val="22"/>
        </w:rPr>
        <w:t>Commit, then asynchronously publish the outbox record.</w:t>
      </w:r>
    </w:p>
    <w:p>
      <w:pPr>
        <w:spacing w:after="80" w:line="300" w:lineRule="auto"/>
        <w:numPr>
          <w:ilvl w:val="0"/>
          <w:numId w:val="14"/>
        </w:numPr>
      </w:pPr>
      <w:r>
        <w:rPr>
          <w:rFonts w:ascii="Calibri" w:hAnsi="Calibri"/>
          <w:sz w:val="22"/>
        </w:rPr>
        <w:t>Return command result with aggregate version and projection cursor.</w:t>
      </w:r>
    </w:p>
    <w:p>
      <w:pPr>
        <w:spacing w:after="120" w:line="300" w:lineRule="auto"/>
      </w:pPr>
      <w:r>
        <w:rPr>
          <w:rFonts w:ascii="Calibri" w:hAnsi="Calibri"/>
          <w:sz w:val="22"/>
        </w:rPr>
        <w:t>No tool or agent may bypass this path for durable effects.</w:t>
      </w:r>
    </w:p>
    <w:p>
      <w:pPr>
        <w:pStyle w:val="Heading1"/>
        <w:keepNext w:val="1"/>
      </w:pPr>
      <w:r>
        <w:rPr>
          <w:rFonts w:ascii="Calibri" w:hAnsi="Calibri"/>
          <w:b/>
          <w:color w:val="2E74B5"/>
          <w:sz w:val="32"/>
        </w:rPr>
        <w:t>6. Core Runtime Contracts</w:t>
      </w:r>
    </w:p>
    <w:p>
      <w:pPr>
        <w:spacing w:after="120" w:line="300" w:lineRule="auto"/>
      </w:pPr>
      <w:r>
        <w:rPr>
          <w:rFonts w:ascii="Calibri" w:hAnsi="Calibri"/>
          <w:sz w:val="22"/>
        </w:rPr>
        <w:t>Phase 1 must implement these contracts before business workflows.</w:t>
      </w:r>
    </w:p>
    <w:p>
      <w:pPr>
        <w:pStyle w:val="Heading2"/>
        <w:keepNext w:val="1"/>
      </w:pPr>
      <w:r>
        <w:rPr>
          <w:rFonts w:ascii="Calibri" w:hAnsi="Calibri"/>
          <w:b/>
          <w:color w:val="2E74B5"/>
          <w:sz w:val="26"/>
        </w:rPr>
        <w:t>6.1 Required schema modules</w:t>
      </w:r>
    </w:p>
    <w:p>
      <w:pPr>
        <w:spacing w:after="120" w:line="300" w:lineRule="auto"/>
      </w:pPr>
      <w:r>
        <w:rPr>
          <w:rFonts w:ascii="Consolas" w:hAnsi="Consolas"/>
          <w:color w:val="1F4D78"/>
          <w:sz w:val="20"/>
        </w:rPr>
        <w:t>packages/runtime-contracts/src/</w:t>
      </w:r>
      <w:r>
        <w:rPr>
          <w:rFonts w:ascii="Calibri" w:hAnsi="Calibri"/>
          <w:sz w:val="22"/>
        </w:rPr>
        <w:t xml:space="preserve"> contains:</w:t>
      </w:r>
    </w:p>
    <w:tbl>
      <w:tblPr>
        <w:tblW w:type="dxa" w:w="9360"/>
        <w:jc w:val="left"/>
        <w:tblLayout w:type="fixed"/>
        <w:tblLook w:firstColumn="1" w:firstRow="1" w:lastColumn="0" w:lastRow="0" w:noHBand="0" w:noVBand="1" w:val="04A0"/>
        <w:tblInd w:w="120" w:type="dxa"/>
        <w:tblBorders>
          <w:top w:val="single" w:sz="4" w:color="D3DAE2"/>
          <w:left w:val="single" w:sz="4" w:color="D3DAE2"/>
          <w:bottom w:val="single" w:sz="4" w:color="D3DAE2"/>
          <w:right w:val="single" w:sz="4" w:color="D3DAE2"/>
          <w:insideH w:val="single" w:sz="4" w:color="D3DAE2"/>
          <w:insideV w:val="single" w:sz="4" w:color="D3DAE2"/>
        </w:tblBorders>
      </w:tblPr>
      <w:tblGrid>
        <w:gridCol w:w="9360"/>
      </w:tblGrid>
      <w:tr>
        <w:tc>
          <w:tcPr>
            <w:tcW w:type="dxa" w:w="9360"/>
            <w:tcMar>
              <w:top w:w="80" w:type="dxa"/>
              <w:start w:w="120" w:type="dxa"/>
              <w:bottom w:w="80" w:type="dxa"/>
              <w:end w:w="120" w:type="dxa"/>
            </w:tcMar>
            <w:shd w:fill="F7F8FA"/>
          </w:tcPr>
          <w:p>
            <w:pPr>
              <w:spacing w:after="0" w:line="240" w:lineRule="auto"/>
            </w:pPr>
            <w:r>
              <w:rPr>
                <w:rFonts w:ascii="Consolas" w:hAnsi="Consolas"/>
                <w:color w:val="263442"/>
                <w:sz w:val="17"/>
              </w:rPr>
              <w:t>actor.ts                  ActorIdentity and tenant/workspace scope</w:t>
            </w:r>
            <w:r>
              <w:br/>
            </w:r>
            <w:r>
              <w:rPr>
                <w:rFonts w:ascii="Consolas" w:hAnsi="Consolas"/>
                <w:color w:val="263442"/>
                <w:sz w:val="17"/>
              </w:rPr>
              <w:t>ids.ts                    typed ID constructors and validators</w:t>
            </w:r>
            <w:r>
              <w:br/>
            </w:r>
            <w:r>
              <w:rPr>
                <w:rFonts w:ascii="Consolas" w:hAnsi="Consolas"/>
                <w:color w:val="263442"/>
                <w:sz w:val="17"/>
              </w:rPr>
              <w:t>time.ts                   RFC 3339 helpers</w:t>
            </w:r>
            <w:r>
              <w:br/>
            </w:r>
            <w:r>
              <w:rPr>
                <w:rFonts w:ascii="Consolas" w:hAnsi="Consolas"/>
                <w:color w:val="263442"/>
                <w:sz w:val="17"/>
              </w:rPr>
              <w:t>money.ts                  minor-unit money and usage quantities</w:t>
            </w:r>
            <w:r>
              <w:br/>
            </w:r>
            <w:r>
              <w:rPr>
                <w:rFonts w:ascii="Consolas" w:hAnsi="Consolas"/>
                <w:color w:val="263442"/>
                <w:sz w:val="17"/>
              </w:rPr>
              <w:t>commands/base.ts          RuntimeCommand envelope</w:t>
            </w:r>
            <w:r>
              <w:br/>
            </w:r>
            <w:r>
              <w:rPr>
                <w:rFonts w:ascii="Consolas" w:hAnsi="Consolas"/>
                <w:color w:val="263442"/>
                <w:sz w:val="17"/>
              </w:rPr>
              <w:t>commands/catalog.ts       command type registry</w:t>
            </w:r>
            <w:r>
              <w:br/>
            </w:r>
            <w:r>
              <w:rPr>
                <w:rFonts w:ascii="Consolas" w:hAnsi="Consolas"/>
                <w:color w:val="263442"/>
                <w:sz w:val="17"/>
              </w:rPr>
              <w:t>workflows.ts              Workflow and workflow state machine</w:t>
            </w:r>
            <w:r>
              <w:br/>
            </w:r>
            <w:r>
              <w:rPr>
                <w:rFonts w:ascii="Consolas" w:hAnsi="Consolas"/>
                <w:color w:val="263442"/>
                <w:sz w:val="17"/>
              </w:rPr>
              <w:t>plans.ts                  ExecutionPlan, PlanStep, dependencies</w:t>
            </w:r>
            <w:r>
              <w:br/>
            </w:r>
            <w:r>
              <w:rPr>
                <w:rFonts w:ascii="Consolas" w:hAnsi="Consolas"/>
                <w:color w:val="263442"/>
                <w:sz w:val="17"/>
              </w:rPr>
              <w:t>invocations.ts            AgentInvocation, envelopes, state machine</w:t>
            </w:r>
            <w:r>
              <w:br/>
            </w:r>
            <w:r>
              <w:rPr>
                <w:rFonts w:ascii="Consolas" w:hAnsi="Consolas"/>
                <w:color w:val="263442"/>
                <w:sz w:val="17"/>
              </w:rPr>
              <w:t>reports.ts                AgentReport, decisions, failures, assertions</w:t>
            </w:r>
            <w:r>
              <w:br/>
            </w:r>
            <w:r>
              <w:rPr>
                <w:rFonts w:ascii="Consolas" w:hAnsi="Consolas"/>
                <w:color w:val="263442"/>
                <w:sz w:val="17"/>
              </w:rPr>
              <w:t>artifacts.ts              artifact metadata, versions, lineage, ownership</w:t>
            </w:r>
            <w:r>
              <w:br/>
            </w:r>
            <w:r>
              <w:rPr>
                <w:rFonts w:ascii="Consolas" w:hAnsi="Consolas"/>
                <w:color w:val="263442"/>
                <w:sz w:val="17"/>
              </w:rPr>
              <w:t>events/base.ts            RuntimeEvent envelope</w:t>
            </w:r>
            <w:r>
              <w:br/>
            </w:r>
            <w:r>
              <w:rPr>
                <w:rFonts w:ascii="Consolas" w:hAnsi="Consolas"/>
                <w:color w:val="263442"/>
                <w:sz w:val="17"/>
              </w:rPr>
              <w:t>events/catalog.ts         event type registry and payload schemas</w:t>
            </w:r>
            <w:r>
              <w:br/>
            </w:r>
            <w:r>
              <w:rPr>
                <w:rFonts w:ascii="Consolas" w:hAnsi="Consolas"/>
                <w:color w:val="263442"/>
                <w:sz w:val="17"/>
              </w:rPr>
              <w:t>approvals.ts              ApprovalRequest and action digest inputs</w:t>
            </w:r>
            <w:r>
              <w:br/>
            </w:r>
            <w:r>
              <w:rPr>
                <w:rFonts w:ascii="Consolas" w:hAnsi="Consolas"/>
                <w:color w:val="263442"/>
                <w:sz w:val="17"/>
              </w:rPr>
              <w:t>budgets.ts                BudgetEnvelope, reservation, reconciliation</w:t>
            </w:r>
            <w:r>
              <w:br/>
            </w:r>
            <w:r>
              <w:rPr>
                <w:rFonts w:ascii="Consolas" w:hAnsi="Consolas"/>
                <w:color w:val="263442"/>
                <w:sz w:val="17"/>
              </w:rPr>
              <w:t>authority.ts              AuthorityEnvelope and capability grants</w:t>
            </w:r>
            <w:r>
              <w:br/>
            </w:r>
            <w:r>
              <w:rPr>
                <w:rFonts w:ascii="Consolas" w:hAnsi="Consolas"/>
                <w:color w:val="263442"/>
                <w:sz w:val="17"/>
              </w:rPr>
              <w:t>resources.ts              ResourceEnvelope and selectors</w:t>
            </w:r>
            <w:r>
              <w:br/>
            </w:r>
            <w:r>
              <w:rPr>
                <w:rFonts w:ascii="Consolas" w:hAnsi="Consolas"/>
                <w:color w:val="263442"/>
                <w:sz w:val="17"/>
              </w:rPr>
              <w:t>agents.ts                 AgentRegistration and harness compatibility</w:t>
            </w:r>
            <w:r>
              <w:br/>
            </w:r>
            <w:r>
              <w:rPr>
                <w:rFonts w:ascii="Consolas" w:hAnsi="Consolas"/>
                <w:color w:val="263442"/>
                <w:sz w:val="17"/>
              </w:rPr>
              <w:t>projections.ts            frontend query DTOs and subscription cursors</w:t>
            </w:r>
            <w:r>
              <w:br/>
            </w:r>
            <w:r>
              <w:rPr>
                <w:rFonts w:ascii="Consolas" w:hAnsi="Consolas"/>
                <w:color w:val="263442"/>
                <w:sz w:val="17"/>
              </w:rPr>
              <w:t>errors.ts                 stable machine-readable error catalog</w:t>
            </w:r>
          </w:p>
        </w:tc>
      </w:tr>
    </w:tbl>
    <w:p>
      <w:pPr>
        <w:spacing w:after="0"/>
      </w:pPr>
    </w:p>
    <w:p>
      <w:pPr>
        <w:pStyle w:val="Heading2"/>
        <w:keepNext w:val="1"/>
      </w:pPr>
      <w:r>
        <w:rPr>
          <w:rFonts w:ascii="Calibri" w:hAnsi="Calibri"/>
          <w:b/>
          <w:color w:val="2E74B5"/>
          <w:sz w:val="26"/>
        </w:rPr>
        <w:t>6.2 State machines</w:t>
      </w:r>
    </w:p>
    <w:p>
      <w:pPr>
        <w:spacing w:after="120" w:line="300" w:lineRule="auto"/>
      </w:pPr>
      <w:r>
        <w:rPr>
          <w:rFonts w:ascii="Calibri" w:hAnsi="Calibri"/>
          <w:sz w:val="22"/>
        </w:rPr>
        <w:t>Encode transitions as pure functions with exhaustive tests.</w:t>
      </w:r>
    </w:p>
    <w:p>
      <w:pPr>
        <w:spacing w:after="120" w:line="300" w:lineRule="auto"/>
      </w:pPr>
      <w:r>
        <w:rPr>
          <w:rFonts w:ascii="Calibri" w:hAnsi="Calibri"/>
          <w:b/>
          <w:sz w:val="22"/>
        </w:rPr>
        <w:t>Workflow:</w:t>
      </w:r>
      <w:r>
        <w:rPr>
          <w:rFonts w:ascii="Calibri" w:hAnsi="Calibri"/>
          <w:sz w:val="22"/>
        </w:rPr>
        <w:t xml:space="preserve"> </w:t>
      </w:r>
      <w:r>
        <w:rPr>
          <w:rFonts w:ascii="Consolas" w:hAnsi="Consolas"/>
          <w:color w:val="1F4D78"/>
          <w:sz w:val="20"/>
        </w:rPr>
        <w:t>planning → awaiting_approval | executing | blocked | cancelled</w:t>
      </w:r>
      <w:r>
        <w:rPr>
          <w:rFonts w:ascii="Calibri" w:hAnsi="Calibri"/>
          <w:sz w:val="22"/>
        </w:rPr>
        <w:t xml:space="preserve">; </w:t>
      </w:r>
      <w:r>
        <w:rPr>
          <w:rFonts w:ascii="Consolas" w:hAnsi="Consolas"/>
          <w:color w:val="1F4D78"/>
          <w:sz w:val="20"/>
        </w:rPr>
        <w:t>awaiting_approval → executing | blocked | cancelled</w:t>
      </w:r>
      <w:r>
        <w:rPr>
          <w:rFonts w:ascii="Calibri" w:hAnsi="Calibri"/>
          <w:sz w:val="22"/>
        </w:rPr>
        <w:t xml:space="preserve">; </w:t>
      </w:r>
      <w:r>
        <w:rPr>
          <w:rFonts w:ascii="Consolas" w:hAnsi="Consolas"/>
          <w:color w:val="1F4D78"/>
          <w:sz w:val="20"/>
        </w:rPr>
        <w:t>executing → awaiting_approval | blocked | completed | failed | cancelled</w:t>
      </w:r>
      <w:r>
        <w:rPr>
          <w:rFonts w:ascii="Calibri" w:hAnsi="Calibri"/>
          <w:sz w:val="22"/>
        </w:rPr>
        <w:t>; terminal states are immutable.</w:t>
      </w:r>
    </w:p>
    <w:p>
      <w:pPr>
        <w:spacing w:after="120" w:line="300" w:lineRule="auto"/>
      </w:pPr>
      <w:r>
        <w:rPr>
          <w:rFonts w:ascii="Calibri" w:hAnsi="Calibri"/>
          <w:b/>
          <w:sz w:val="22"/>
        </w:rPr>
        <w:t>Invocation:</w:t>
      </w:r>
      <w:r>
        <w:rPr>
          <w:rFonts w:ascii="Calibri" w:hAnsi="Calibri"/>
          <w:sz w:val="22"/>
        </w:rPr>
        <w:t xml:space="preserve"> </w:t>
      </w:r>
      <w:r>
        <w:rPr>
          <w:rFonts w:ascii="Consolas" w:hAnsi="Consolas"/>
          <w:color w:val="1F4D78"/>
          <w:sz w:val="20"/>
        </w:rPr>
        <w:t>created → context_ready → running → awaiting_approval | verifying | blocked | failed | cancelled</w:t>
      </w:r>
      <w:r>
        <w:rPr>
          <w:rFonts w:ascii="Calibri" w:hAnsi="Calibri"/>
          <w:sz w:val="22"/>
        </w:rPr>
        <w:t xml:space="preserve">; </w:t>
      </w:r>
      <w:r>
        <w:rPr>
          <w:rFonts w:ascii="Consolas" w:hAnsi="Consolas"/>
          <w:color w:val="1F4D78"/>
          <w:sz w:val="20"/>
        </w:rPr>
        <w:t>verifying → succeeded | partially_succeeded | failed</w:t>
      </w:r>
      <w:r>
        <w:rPr>
          <w:rFonts w:ascii="Calibri" w:hAnsi="Calibri"/>
          <w:sz w:val="22"/>
        </w:rPr>
        <w:t>; terminal states are immutable.</w:t>
      </w:r>
    </w:p>
    <w:p>
      <w:pPr>
        <w:spacing w:after="120" w:line="300" w:lineRule="auto"/>
      </w:pPr>
      <w:r>
        <w:rPr>
          <w:rFonts w:ascii="Calibri" w:hAnsi="Calibri"/>
          <w:b/>
          <w:sz w:val="22"/>
        </w:rPr>
        <w:t>Artifact:</w:t>
      </w:r>
      <w:r>
        <w:rPr>
          <w:rFonts w:ascii="Calibri" w:hAnsi="Calibri"/>
          <w:sz w:val="22"/>
        </w:rPr>
        <w:t xml:space="preserve"> </w:t>
      </w:r>
      <w:r>
        <w:rPr>
          <w:rFonts w:ascii="Consolas" w:hAnsi="Consolas"/>
          <w:color w:val="1F4D78"/>
          <w:sz w:val="20"/>
        </w:rPr>
        <w:t>DRAFT → VALID | BLOCKED | ARCHIVED</w:t>
      </w:r>
      <w:r>
        <w:rPr>
          <w:rFonts w:ascii="Calibri" w:hAnsi="Calibri"/>
          <w:sz w:val="22"/>
        </w:rPr>
        <w:t xml:space="preserve">; </w:t>
      </w:r>
      <w:r>
        <w:rPr>
          <w:rFonts w:ascii="Consolas" w:hAnsi="Consolas"/>
          <w:color w:val="1F4D78"/>
          <w:sz w:val="20"/>
        </w:rPr>
        <w:t>VALID → STALE | SUPERSEDED | ARCHIVED</w:t>
      </w:r>
      <w:r>
        <w:rPr>
          <w:rFonts w:ascii="Calibri" w:hAnsi="Calibri"/>
          <w:sz w:val="22"/>
        </w:rPr>
        <w:t xml:space="preserve">; </w:t>
      </w:r>
      <w:r>
        <w:rPr>
          <w:rFonts w:ascii="Consolas" w:hAnsi="Consolas"/>
          <w:color w:val="1F4D78"/>
          <w:sz w:val="20"/>
        </w:rPr>
        <w:t>STALE → VALID | SUPERSEDED | ARCHIVED</w:t>
      </w:r>
      <w:r>
        <w:rPr>
          <w:rFonts w:ascii="Calibri" w:hAnsi="Calibri"/>
          <w:sz w:val="22"/>
        </w:rPr>
        <w:t>; publication creates a version and never mutates content.</w:t>
      </w:r>
    </w:p>
    <w:p>
      <w:pPr>
        <w:spacing w:after="120" w:line="300" w:lineRule="auto"/>
      </w:pPr>
      <w:r>
        <w:rPr>
          <w:rFonts w:ascii="Calibri" w:hAnsi="Calibri"/>
          <w:b/>
          <w:sz w:val="22"/>
        </w:rPr>
        <w:t>Approval:</w:t>
      </w:r>
      <w:r>
        <w:rPr>
          <w:rFonts w:ascii="Calibri" w:hAnsi="Calibri"/>
          <w:sz w:val="22"/>
        </w:rPr>
        <w:t xml:space="preserve"> </w:t>
      </w:r>
      <w:r>
        <w:rPr>
          <w:rFonts w:ascii="Consolas" w:hAnsi="Consolas"/>
          <w:color w:val="1F4D78"/>
          <w:sz w:val="20"/>
        </w:rPr>
        <w:t>pending → approved | rejected | expired | revoked</w:t>
      </w:r>
      <w:r>
        <w:rPr>
          <w:rFonts w:ascii="Calibri" w:hAnsi="Calibri"/>
          <w:sz w:val="22"/>
        </w:rPr>
        <w:t xml:space="preserve">; approved requests may later become </w:t>
      </w:r>
      <w:r>
        <w:rPr>
          <w:rFonts w:ascii="Consolas" w:hAnsi="Consolas"/>
          <w:color w:val="1F4D78"/>
          <w:sz w:val="20"/>
        </w:rPr>
        <w:t>revoked</w:t>
      </w:r>
      <w:r>
        <w:rPr>
          <w:rFonts w:ascii="Calibri" w:hAnsi="Calibri"/>
          <w:sz w:val="22"/>
        </w:rPr>
        <w:t xml:space="preserve"> or be treated as invalid when the action digest no longer matches.</w:t>
      </w:r>
    </w:p>
    <w:p>
      <w:pPr>
        <w:spacing w:after="120" w:line="300" w:lineRule="auto"/>
      </w:pPr>
      <w:r>
        <w:rPr>
          <w:rFonts w:ascii="Calibri" w:hAnsi="Calibri"/>
          <w:b/>
          <w:sz w:val="22"/>
        </w:rPr>
        <w:t>Deployment:</w:t>
      </w:r>
      <w:r>
        <w:rPr>
          <w:rFonts w:ascii="Calibri" w:hAnsi="Calibri"/>
          <w:sz w:val="22"/>
        </w:rPr>
        <w:t xml:space="preserve"> </w:t>
      </w:r>
      <w:r>
        <w:rPr>
          <w:rFonts w:ascii="Consolas" w:hAnsi="Consolas"/>
          <w:color w:val="1F4D78"/>
          <w:sz w:val="20"/>
        </w:rPr>
        <w:t>REQUESTED → PROVISIONING → SMOKE_TESTING → CANARY → RAMPING → ACTIVE</w:t>
      </w:r>
      <w:r>
        <w:rPr>
          <w:rFonts w:ascii="Calibri" w:hAnsi="Calibri"/>
          <w:sz w:val="22"/>
        </w:rPr>
        <w:t xml:space="preserve">; any nonterminal stage may transition to </w:t>
      </w:r>
      <w:r>
        <w:rPr>
          <w:rFonts w:ascii="Consolas" w:hAnsi="Consolas"/>
          <w:color w:val="1F4D78"/>
          <w:sz w:val="20"/>
        </w:rPr>
        <w:t>ROLLING_BACK → ROLLED_BACK</w:t>
      </w:r>
      <w:r>
        <w:rPr>
          <w:rFonts w:ascii="Calibri" w:hAnsi="Calibri"/>
          <w:sz w:val="22"/>
        </w:rPr>
        <w:t xml:space="preserve"> or </w:t>
      </w:r>
      <w:r>
        <w:rPr>
          <w:rFonts w:ascii="Consolas" w:hAnsi="Consolas"/>
          <w:color w:val="1F4D78"/>
          <w:sz w:val="20"/>
        </w:rPr>
        <w:t>FAILED</w:t>
      </w:r>
      <w:r>
        <w:rPr>
          <w:rFonts w:ascii="Calibri" w:hAnsi="Calibri"/>
          <w:sz w:val="22"/>
        </w:rPr>
        <w:t>.</w:t>
      </w:r>
    </w:p>
    <w:p>
      <w:pPr>
        <w:pStyle w:val="Heading2"/>
        <w:keepNext w:val="1"/>
      </w:pPr>
      <w:r>
        <w:rPr>
          <w:rFonts w:ascii="Calibri" w:hAnsi="Calibri"/>
          <w:b/>
          <w:color w:val="2E74B5"/>
          <w:sz w:val="26"/>
        </w:rPr>
        <w:t>6.3 Error catalog</w:t>
      </w:r>
    </w:p>
    <w:p>
      <w:pPr>
        <w:spacing w:after="120" w:line="300" w:lineRule="auto"/>
      </w:pPr>
      <w:r>
        <w:rPr>
          <w:rFonts w:ascii="Calibri" w:hAnsi="Calibri"/>
          <w:sz w:val="22"/>
        </w:rPr>
        <w:t xml:space="preserve">All services return a stable error shape containing </w:t>
      </w:r>
      <w:r>
        <w:rPr>
          <w:rFonts w:ascii="Consolas" w:hAnsi="Consolas"/>
          <w:color w:val="1F4D78"/>
          <w:sz w:val="20"/>
        </w:rPr>
        <w:t>code</w:t>
      </w:r>
      <w:r>
        <w:rPr>
          <w:rFonts w:ascii="Calibri" w:hAnsi="Calibri"/>
          <w:sz w:val="22"/>
        </w:rPr>
        <w:t xml:space="preserve">, </w:t>
      </w:r>
      <w:r>
        <w:rPr>
          <w:rFonts w:ascii="Consolas" w:hAnsi="Consolas"/>
          <w:color w:val="1F4D78"/>
          <w:sz w:val="20"/>
        </w:rPr>
        <w:t>category</w:t>
      </w:r>
      <w:r>
        <w:rPr>
          <w:rFonts w:ascii="Calibri" w:hAnsi="Calibri"/>
          <w:sz w:val="22"/>
        </w:rPr>
        <w:t xml:space="preserve">, </w:t>
      </w:r>
      <w:r>
        <w:rPr>
          <w:rFonts w:ascii="Consolas" w:hAnsi="Consolas"/>
          <w:color w:val="1F4D78"/>
          <w:sz w:val="20"/>
        </w:rPr>
        <w:t>message</w:t>
      </w:r>
      <w:r>
        <w:rPr>
          <w:rFonts w:ascii="Calibri" w:hAnsi="Calibri"/>
          <w:sz w:val="22"/>
        </w:rPr>
        <w:t xml:space="preserve">, </w:t>
      </w:r>
      <w:r>
        <w:rPr>
          <w:rFonts w:ascii="Consolas" w:hAnsi="Consolas"/>
          <w:color w:val="1F4D78"/>
          <w:sz w:val="20"/>
        </w:rPr>
        <w:t>retryable</w:t>
      </w:r>
      <w:r>
        <w:rPr>
          <w:rFonts w:ascii="Calibri" w:hAnsi="Calibri"/>
          <w:sz w:val="22"/>
        </w:rPr>
        <w:t xml:space="preserve">, </w:t>
      </w:r>
      <w:r>
        <w:rPr>
          <w:rFonts w:ascii="Consolas" w:hAnsi="Consolas"/>
          <w:color w:val="1F4D78"/>
          <w:sz w:val="20"/>
        </w:rPr>
        <w:t>correlationId</w:t>
      </w:r>
      <w:r>
        <w:rPr>
          <w:rFonts w:ascii="Calibri" w:hAnsi="Calibri"/>
          <w:sz w:val="22"/>
        </w:rPr>
        <w:t>, and optional validation details. Minimum codes:</w:t>
      </w:r>
    </w:p>
    <w:p>
      <w:pPr>
        <w:spacing w:after="80" w:line="300" w:lineRule="auto"/>
        <w:numPr>
          <w:ilvl w:val="0"/>
          <w:numId w:val="10"/>
        </w:numPr>
      </w:pPr>
      <w:r>
        <w:rPr>
          <w:rFonts w:ascii="Consolas" w:hAnsi="Consolas"/>
          <w:color w:val="1F4D78"/>
          <w:sz w:val="20"/>
        </w:rPr>
        <w:t>VALIDATION_FAILED</w:t>
      </w:r>
    </w:p>
    <w:p>
      <w:pPr>
        <w:spacing w:after="80" w:line="300" w:lineRule="auto"/>
        <w:numPr>
          <w:ilvl w:val="0"/>
          <w:numId w:val="10"/>
        </w:numPr>
      </w:pPr>
      <w:r>
        <w:rPr>
          <w:rFonts w:ascii="Consolas" w:hAnsi="Consolas"/>
          <w:color w:val="1F4D78"/>
          <w:sz w:val="20"/>
        </w:rPr>
        <w:t>UNAUTHENTICATED</w:t>
      </w:r>
    </w:p>
    <w:p>
      <w:pPr>
        <w:spacing w:after="80" w:line="300" w:lineRule="auto"/>
        <w:numPr>
          <w:ilvl w:val="0"/>
          <w:numId w:val="10"/>
        </w:numPr>
      </w:pPr>
      <w:r>
        <w:rPr>
          <w:rFonts w:ascii="Consolas" w:hAnsi="Consolas"/>
          <w:color w:val="1F4D78"/>
          <w:sz w:val="20"/>
        </w:rPr>
        <w:t>AUTHORITY_DENIED</w:t>
      </w:r>
    </w:p>
    <w:p>
      <w:pPr>
        <w:spacing w:after="80" w:line="300" w:lineRule="auto"/>
        <w:numPr>
          <w:ilvl w:val="0"/>
          <w:numId w:val="10"/>
        </w:numPr>
      </w:pPr>
      <w:r>
        <w:rPr>
          <w:rFonts w:ascii="Consolas" w:hAnsi="Consolas"/>
          <w:color w:val="1F4D78"/>
          <w:sz w:val="20"/>
        </w:rPr>
        <w:t>POLICY_DENIED</w:t>
      </w:r>
    </w:p>
    <w:p>
      <w:pPr>
        <w:spacing w:after="80" w:line="300" w:lineRule="auto"/>
        <w:numPr>
          <w:ilvl w:val="0"/>
          <w:numId w:val="10"/>
        </w:numPr>
      </w:pPr>
      <w:r>
        <w:rPr>
          <w:rFonts w:ascii="Consolas" w:hAnsi="Consolas"/>
          <w:color w:val="1F4D78"/>
          <w:sz w:val="20"/>
        </w:rPr>
        <w:t>APPROVAL_REQUIRED</w:t>
      </w:r>
    </w:p>
    <w:p>
      <w:pPr>
        <w:spacing w:after="80" w:line="300" w:lineRule="auto"/>
        <w:numPr>
          <w:ilvl w:val="0"/>
          <w:numId w:val="10"/>
        </w:numPr>
      </w:pPr>
      <w:r>
        <w:rPr>
          <w:rFonts w:ascii="Consolas" w:hAnsi="Consolas"/>
          <w:color w:val="1F4D78"/>
          <w:sz w:val="20"/>
        </w:rPr>
        <w:t>APPROVAL_INVALID</w:t>
      </w:r>
    </w:p>
    <w:p>
      <w:pPr>
        <w:spacing w:after="80" w:line="300" w:lineRule="auto"/>
        <w:numPr>
          <w:ilvl w:val="0"/>
          <w:numId w:val="10"/>
        </w:numPr>
      </w:pPr>
      <w:r>
        <w:rPr>
          <w:rFonts w:ascii="Consolas" w:hAnsi="Consolas"/>
          <w:color w:val="1F4D78"/>
          <w:sz w:val="20"/>
        </w:rPr>
        <w:t>VERSION_CONFLICT</w:t>
      </w:r>
    </w:p>
    <w:p>
      <w:pPr>
        <w:spacing w:after="80" w:line="300" w:lineRule="auto"/>
        <w:numPr>
          <w:ilvl w:val="0"/>
          <w:numId w:val="10"/>
        </w:numPr>
      </w:pPr>
      <w:r>
        <w:rPr>
          <w:rFonts w:ascii="Consolas" w:hAnsi="Consolas"/>
          <w:color w:val="1F4D78"/>
          <w:sz w:val="20"/>
        </w:rPr>
        <w:t>BUDGET_EXCEEDED</w:t>
      </w:r>
    </w:p>
    <w:p>
      <w:pPr>
        <w:spacing w:after="80" w:line="300" w:lineRule="auto"/>
        <w:numPr>
          <w:ilvl w:val="0"/>
          <w:numId w:val="10"/>
        </w:numPr>
      </w:pPr>
      <w:r>
        <w:rPr>
          <w:rFonts w:ascii="Consolas" w:hAnsi="Consolas"/>
          <w:color w:val="1F4D78"/>
          <w:sz w:val="20"/>
        </w:rPr>
        <w:t>RESOURCE_UNAVAILABLE</w:t>
      </w:r>
    </w:p>
    <w:p>
      <w:pPr>
        <w:spacing w:after="80" w:line="300" w:lineRule="auto"/>
        <w:numPr>
          <w:ilvl w:val="0"/>
          <w:numId w:val="10"/>
        </w:numPr>
      </w:pPr>
      <w:r>
        <w:rPr>
          <w:rFonts w:ascii="Consolas" w:hAnsi="Consolas"/>
          <w:color w:val="1F4D78"/>
          <w:sz w:val="20"/>
        </w:rPr>
        <w:t>ARTIFACT_NOT_FOUND</w:t>
      </w:r>
    </w:p>
    <w:p>
      <w:pPr>
        <w:spacing w:after="80" w:line="300" w:lineRule="auto"/>
        <w:numPr>
          <w:ilvl w:val="0"/>
          <w:numId w:val="10"/>
        </w:numPr>
      </w:pPr>
      <w:r>
        <w:rPr>
          <w:rFonts w:ascii="Consolas" w:hAnsi="Consolas"/>
          <w:color w:val="1F4D78"/>
          <w:sz w:val="20"/>
        </w:rPr>
        <w:t>ARTIFACT_HASH_MISMATCH</w:t>
      </w:r>
    </w:p>
    <w:p>
      <w:pPr>
        <w:spacing w:after="80" w:line="300" w:lineRule="auto"/>
        <w:numPr>
          <w:ilvl w:val="0"/>
          <w:numId w:val="10"/>
        </w:numPr>
      </w:pPr>
      <w:r>
        <w:rPr>
          <w:rFonts w:ascii="Consolas" w:hAnsi="Consolas"/>
          <w:color w:val="1F4D78"/>
          <w:sz w:val="20"/>
        </w:rPr>
        <w:t>HARNESS_DISABLED</w:t>
      </w:r>
    </w:p>
    <w:p>
      <w:pPr>
        <w:spacing w:after="80" w:line="300" w:lineRule="auto"/>
        <w:numPr>
          <w:ilvl w:val="0"/>
          <w:numId w:val="10"/>
        </w:numPr>
      </w:pPr>
      <w:r>
        <w:rPr>
          <w:rFonts w:ascii="Consolas" w:hAnsi="Consolas"/>
          <w:color w:val="1F4D78"/>
          <w:sz w:val="20"/>
        </w:rPr>
        <w:t>TIER_VIOLATION</w:t>
      </w:r>
    </w:p>
    <w:p>
      <w:pPr>
        <w:spacing w:after="80" w:line="300" w:lineRule="auto"/>
        <w:numPr>
          <w:ilvl w:val="0"/>
          <w:numId w:val="10"/>
        </w:numPr>
      </w:pPr>
      <w:r>
        <w:rPr>
          <w:rFonts w:ascii="Consolas" w:hAnsi="Consolas"/>
          <w:color w:val="1F4D78"/>
          <w:sz w:val="20"/>
        </w:rPr>
        <w:t>REPORT_REJECTED</w:t>
      </w:r>
    </w:p>
    <w:p>
      <w:pPr>
        <w:spacing w:after="80" w:line="300" w:lineRule="auto"/>
        <w:numPr>
          <w:ilvl w:val="0"/>
          <w:numId w:val="10"/>
        </w:numPr>
      </w:pPr>
      <w:r>
        <w:rPr>
          <w:rFonts w:ascii="Consolas" w:hAnsi="Consolas"/>
          <w:color w:val="1F4D78"/>
          <w:sz w:val="20"/>
        </w:rPr>
        <w:t>RETRY_EXHAUSTED</w:t>
      </w:r>
    </w:p>
    <w:p>
      <w:pPr>
        <w:spacing w:after="80" w:line="300" w:lineRule="auto"/>
        <w:numPr>
          <w:ilvl w:val="0"/>
          <w:numId w:val="10"/>
        </w:numPr>
      </w:pPr>
      <w:r>
        <w:rPr>
          <w:rFonts w:ascii="Consolas" w:hAnsi="Consolas"/>
          <w:color w:val="1F4D78"/>
          <w:sz w:val="20"/>
        </w:rPr>
        <w:t>DEPENDENCY_FAILED</w:t>
      </w:r>
    </w:p>
    <w:p>
      <w:pPr>
        <w:spacing w:after="80" w:line="300" w:lineRule="auto"/>
        <w:numPr>
          <w:ilvl w:val="0"/>
          <w:numId w:val="10"/>
        </w:numPr>
      </w:pPr>
      <w:r>
        <w:rPr>
          <w:rFonts w:ascii="Consolas" w:hAnsi="Consolas"/>
          <w:color w:val="1F4D78"/>
          <w:sz w:val="20"/>
        </w:rPr>
        <w:t>INTERNAL_ERROR</w:t>
      </w:r>
    </w:p>
    <w:p>
      <w:pPr>
        <w:pStyle w:val="Heading2"/>
        <w:keepNext w:val="1"/>
      </w:pPr>
      <w:r>
        <w:rPr>
          <w:rFonts w:ascii="Calibri" w:hAnsi="Calibri"/>
          <w:b/>
          <w:color w:val="2E74B5"/>
          <w:sz w:val="26"/>
        </w:rPr>
        <w:t>6.4 Contract acceptance criteria</w:t>
      </w:r>
    </w:p>
    <w:p>
      <w:pPr>
        <w:spacing w:after="80" w:line="300" w:lineRule="auto"/>
        <w:numPr>
          <w:ilvl w:val="0"/>
          <w:numId w:val="10"/>
        </w:numPr>
      </w:pPr>
      <w:r>
        <w:rPr>
          <w:rFonts w:ascii="Calibri" w:hAnsi="Calibri"/>
          <w:sz w:val="22"/>
        </w:rPr>
        <w:t>All schemas produce JSON Schema.</w:t>
      </w:r>
    </w:p>
    <w:p>
      <w:pPr>
        <w:spacing w:after="80" w:line="300" w:lineRule="auto"/>
        <w:numPr>
          <w:ilvl w:val="0"/>
          <w:numId w:val="10"/>
        </w:numPr>
      </w:pPr>
      <w:r>
        <w:rPr>
          <w:rFonts w:ascii="Calibri" w:hAnsi="Calibri"/>
          <w:sz w:val="22"/>
        </w:rPr>
        <w:t>Valid and invalid fixtures exist for every top-level contract.</w:t>
      </w:r>
    </w:p>
    <w:p>
      <w:pPr>
        <w:spacing w:after="80" w:line="300" w:lineRule="auto"/>
        <w:numPr>
          <w:ilvl w:val="0"/>
          <w:numId w:val="10"/>
        </w:numPr>
      </w:pPr>
      <w:r>
        <w:rPr>
          <w:rFonts w:ascii="Calibri" w:hAnsi="Calibri"/>
          <w:sz w:val="22"/>
        </w:rPr>
        <w:t>State transition tests cover every allowed and denied edge.</w:t>
      </w:r>
    </w:p>
    <w:p>
      <w:pPr>
        <w:spacing w:after="80" w:line="300" w:lineRule="auto"/>
        <w:numPr>
          <w:ilvl w:val="0"/>
          <w:numId w:val="10"/>
        </w:numPr>
      </w:pPr>
      <w:r>
        <w:rPr>
          <w:rFonts w:ascii="Calibri" w:hAnsi="Calibri"/>
          <w:sz w:val="22"/>
        </w:rPr>
        <w:t>Type generation is deterministic.</w:t>
      </w:r>
    </w:p>
    <w:p>
      <w:pPr>
        <w:spacing w:after="80" w:line="300" w:lineRule="auto"/>
        <w:numPr>
          <w:ilvl w:val="0"/>
          <w:numId w:val="10"/>
        </w:numPr>
      </w:pPr>
      <w:r>
        <w:rPr>
          <w:rFonts w:ascii="Calibri" w:hAnsi="Calibri"/>
          <w:sz w:val="22"/>
        </w:rPr>
        <w:t>Schema compatibility CI detects breaking changes.</w:t>
      </w:r>
    </w:p>
    <w:p>
      <w:pPr>
        <w:spacing w:after="80" w:line="300" w:lineRule="auto"/>
        <w:numPr>
          <w:ilvl w:val="0"/>
          <w:numId w:val="10"/>
        </w:numPr>
      </w:pPr>
      <w:r>
        <w:rPr>
          <w:rFonts w:ascii="Calibri" w:hAnsi="Calibri"/>
          <w:sz w:val="22"/>
        </w:rPr>
        <w:t>Unknown enum values fail closed at command and effect boundaries.</w:t>
      </w:r>
    </w:p>
    <w:p>
      <w:pPr>
        <w:spacing w:after="80" w:line="300" w:lineRule="auto"/>
        <w:numPr>
          <w:ilvl w:val="0"/>
          <w:numId w:val="10"/>
        </w:numPr>
      </w:pPr>
      <w:r>
        <w:rPr>
          <w:rFonts w:ascii="Calibri" w:hAnsi="Calibri"/>
          <w:sz w:val="22"/>
        </w:rPr>
        <w:t>Contract package has no runtime dependency on API, databases, SDKs, or UI.</w:t>
      </w:r>
    </w:p>
    <w:p>
      <w:pPr>
        <w:pStyle w:val="Heading1"/>
        <w:keepNext w:val="1"/>
      </w:pPr>
      <w:r>
        <w:rPr>
          <w:rFonts w:ascii="Calibri" w:hAnsi="Calibri"/>
          <w:b/>
          <w:color w:val="2E74B5"/>
          <w:sz w:val="32"/>
        </w:rPr>
        <w:t>7. Authoritative State and Event Architecture</w:t>
      </w:r>
    </w:p>
    <w:p>
      <w:pPr>
        <w:pStyle w:val="Heading2"/>
        <w:keepNext w:val="1"/>
      </w:pPr>
      <w:r>
        <w:rPr>
          <w:rFonts w:ascii="Calibri" w:hAnsi="Calibri"/>
          <w:b/>
          <w:color w:val="2E74B5"/>
          <w:sz w:val="26"/>
        </w:rPr>
        <w:t>7.1 Hosted relational model</w:t>
      </w:r>
    </w:p>
    <w:p>
      <w:pPr>
        <w:spacing w:after="120" w:line="300" w:lineRule="auto"/>
      </w:pPr>
      <w:r>
        <w:rPr>
          <w:rFonts w:ascii="Calibri" w:hAnsi="Calibri"/>
          <w:sz w:val="22"/>
        </w:rPr>
        <w:t>Create PostgreSQL migrations for:</w:t>
      </w:r>
    </w:p>
    <w:p>
      <w:pPr>
        <w:spacing w:after="80" w:line="300" w:lineRule="auto"/>
        <w:numPr>
          <w:ilvl w:val="0"/>
          <w:numId w:val="10"/>
        </w:numPr>
      </w:pPr>
      <w:r>
        <w:rPr>
          <w:rFonts w:ascii="Consolas" w:hAnsi="Consolas"/>
          <w:color w:val="1F4D78"/>
          <w:sz w:val="20"/>
        </w:rPr>
        <w:t>tenants</w:t>
      </w:r>
      <w:r>
        <w:rPr>
          <w:rFonts w:ascii="Calibri" w:hAnsi="Calibri"/>
          <w:sz w:val="22"/>
        </w:rPr>
        <w:t xml:space="preserve">, </w:t>
      </w:r>
      <w:r>
        <w:rPr>
          <w:rFonts w:ascii="Consolas" w:hAnsi="Consolas"/>
          <w:color w:val="1F4D78"/>
          <w:sz w:val="20"/>
        </w:rPr>
        <w:t>workspaces</w:t>
      </w:r>
      <w:r>
        <w:rPr>
          <w:rFonts w:ascii="Calibri" w:hAnsi="Calibri"/>
          <w:sz w:val="22"/>
        </w:rPr>
        <w:t xml:space="preserve">, </w:t>
      </w:r>
      <w:r>
        <w:rPr>
          <w:rFonts w:ascii="Consolas" w:hAnsi="Consolas"/>
          <w:color w:val="1F4D78"/>
          <w:sz w:val="20"/>
        </w:rPr>
        <w:t>workspace_members</w:t>
      </w:r>
      <w:r>
        <w:rPr>
          <w:rFonts w:ascii="Calibri" w:hAnsi="Calibri"/>
          <w:sz w:val="22"/>
        </w:rPr>
        <w:t>;</w:t>
      </w:r>
    </w:p>
    <w:p>
      <w:pPr>
        <w:spacing w:after="80" w:line="300" w:lineRule="auto"/>
        <w:numPr>
          <w:ilvl w:val="0"/>
          <w:numId w:val="10"/>
        </w:numPr>
      </w:pPr>
      <w:r>
        <w:rPr>
          <w:rFonts w:ascii="Consolas" w:hAnsi="Consolas"/>
          <w:color w:val="1F4D78"/>
          <w:sz w:val="20"/>
        </w:rPr>
        <w:t>commands</w:t>
      </w:r>
      <w:r>
        <w:rPr>
          <w:rFonts w:ascii="Calibri" w:hAnsi="Calibri"/>
          <w:sz w:val="22"/>
        </w:rPr>
        <w:t xml:space="preserve"> and </w:t>
      </w:r>
      <w:r>
        <w:rPr>
          <w:rFonts w:ascii="Consolas" w:hAnsi="Consolas"/>
          <w:color w:val="1F4D78"/>
          <w:sz w:val="20"/>
        </w:rPr>
        <w:t>command_results</w:t>
      </w:r>
      <w:r>
        <w:rPr>
          <w:rFonts w:ascii="Calibri" w:hAnsi="Calibri"/>
          <w:sz w:val="22"/>
        </w:rPr>
        <w:t xml:space="preserve"> with unique idempotency key scope;</w:t>
      </w:r>
    </w:p>
    <w:p>
      <w:pPr>
        <w:spacing w:after="80" w:line="300" w:lineRule="auto"/>
        <w:numPr>
          <w:ilvl w:val="0"/>
          <w:numId w:val="10"/>
        </w:numPr>
      </w:pPr>
      <w:r>
        <w:rPr>
          <w:rFonts w:ascii="Consolas" w:hAnsi="Consolas"/>
          <w:color w:val="1F4D78"/>
          <w:sz w:val="20"/>
        </w:rPr>
        <w:t>workflows</w:t>
      </w:r>
      <w:r>
        <w:rPr>
          <w:rFonts w:ascii="Calibri" w:hAnsi="Calibri"/>
          <w:sz w:val="22"/>
        </w:rPr>
        <w:t xml:space="preserve">, </w:t>
      </w:r>
      <w:r>
        <w:rPr>
          <w:rFonts w:ascii="Consolas" w:hAnsi="Consolas"/>
          <w:color w:val="1F4D78"/>
          <w:sz w:val="20"/>
        </w:rPr>
        <w:t>workflow_plan_versions</w:t>
      </w:r>
      <w:r>
        <w:rPr>
          <w:rFonts w:ascii="Calibri" w:hAnsi="Calibri"/>
          <w:sz w:val="22"/>
        </w:rPr>
        <w:t xml:space="preserve">, </w:t>
      </w:r>
      <w:r>
        <w:rPr>
          <w:rFonts w:ascii="Consolas" w:hAnsi="Consolas"/>
          <w:color w:val="1F4D78"/>
          <w:sz w:val="20"/>
        </w:rPr>
        <w:t>workflow_dependencies</w:t>
      </w:r>
      <w:r>
        <w:rPr>
          <w:rFonts w:ascii="Calibri" w:hAnsi="Calibri"/>
          <w:sz w:val="22"/>
        </w:rPr>
        <w:t>;</w:t>
      </w:r>
    </w:p>
    <w:p>
      <w:pPr>
        <w:spacing w:after="80" w:line="300" w:lineRule="auto"/>
        <w:numPr>
          <w:ilvl w:val="0"/>
          <w:numId w:val="10"/>
        </w:numPr>
      </w:pPr>
      <w:r>
        <w:rPr>
          <w:rFonts w:ascii="Consolas" w:hAnsi="Consolas"/>
          <w:color w:val="1F4D78"/>
          <w:sz w:val="20"/>
        </w:rPr>
        <w:t>invocations</w:t>
      </w:r>
      <w:r>
        <w:rPr>
          <w:rFonts w:ascii="Calibri" w:hAnsi="Calibri"/>
          <w:sz w:val="22"/>
        </w:rPr>
        <w:t xml:space="preserve">, </w:t>
      </w:r>
      <w:r>
        <w:rPr>
          <w:rFonts w:ascii="Consolas" w:hAnsi="Consolas"/>
          <w:color w:val="1F4D78"/>
          <w:sz w:val="20"/>
        </w:rPr>
        <w:t>invocation_attempts</w:t>
      </w:r>
      <w:r>
        <w:rPr>
          <w:rFonts w:ascii="Calibri" w:hAnsi="Calibri"/>
          <w:sz w:val="22"/>
        </w:rPr>
        <w:t xml:space="preserve">, </w:t>
      </w:r>
      <w:r>
        <w:rPr>
          <w:rFonts w:ascii="Consolas" w:hAnsi="Consolas"/>
          <w:color w:val="1F4D78"/>
          <w:sz w:val="20"/>
        </w:rPr>
        <w:t>invocation_relationships</w:t>
      </w:r>
      <w:r>
        <w:rPr>
          <w:rFonts w:ascii="Calibri" w:hAnsi="Calibri"/>
          <w:sz w:val="22"/>
        </w:rPr>
        <w:t>;</w:t>
      </w:r>
    </w:p>
    <w:p>
      <w:pPr>
        <w:spacing w:after="80" w:line="300" w:lineRule="auto"/>
        <w:numPr>
          <w:ilvl w:val="0"/>
          <w:numId w:val="10"/>
        </w:numPr>
      </w:pPr>
      <w:r>
        <w:rPr>
          <w:rFonts w:ascii="Consolas" w:hAnsi="Consolas"/>
          <w:color w:val="1F4D78"/>
          <w:sz w:val="20"/>
        </w:rPr>
        <w:t>artifacts</w:t>
      </w:r>
      <w:r>
        <w:rPr>
          <w:rFonts w:ascii="Calibri" w:hAnsi="Calibri"/>
          <w:sz w:val="22"/>
        </w:rPr>
        <w:t xml:space="preserve">, </w:t>
      </w:r>
      <w:r>
        <w:rPr>
          <w:rFonts w:ascii="Consolas" w:hAnsi="Consolas"/>
          <w:color w:val="1F4D78"/>
          <w:sz w:val="20"/>
        </w:rPr>
        <w:t>artifact_versions</w:t>
      </w:r>
      <w:r>
        <w:rPr>
          <w:rFonts w:ascii="Calibri" w:hAnsi="Calibri"/>
          <w:sz w:val="22"/>
        </w:rPr>
        <w:t xml:space="preserve">, </w:t>
      </w:r>
      <w:r>
        <w:rPr>
          <w:rFonts w:ascii="Consolas" w:hAnsi="Consolas"/>
          <w:color w:val="1F4D78"/>
          <w:sz w:val="20"/>
        </w:rPr>
        <w:t>artifact_lineage</w:t>
      </w:r>
      <w:r>
        <w:rPr>
          <w:rFonts w:ascii="Calibri" w:hAnsi="Calibri"/>
          <w:sz w:val="22"/>
        </w:rPr>
        <w:t>;</w:t>
      </w:r>
    </w:p>
    <w:p>
      <w:pPr>
        <w:spacing w:after="80" w:line="300" w:lineRule="auto"/>
        <w:numPr>
          <w:ilvl w:val="0"/>
          <w:numId w:val="10"/>
        </w:numPr>
      </w:pPr>
      <w:r>
        <w:rPr>
          <w:rFonts w:ascii="Consolas" w:hAnsi="Consolas"/>
          <w:color w:val="1F4D78"/>
          <w:sz w:val="20"/>
        </w:rPr>
        <w:t>approvals</w:t>
      </w:r>
      <w:r>
        <w:rPr>
          <w:rFonts w:ascii="Calibri" w:hAnsi="Calibri"/>
          <w:sz w:val="22"/>
        </w:rPr>
        <w:t xml:space="preserve"> and </w:t>
      </w:r>
      <w:r>
        <w:rPr>
          <w:rFonts w:ascii="Consolas" w:hAnsi="Consolas"/>
          <w:color w:val="1F4D78"/>
          <w:sz w:val="20"/>
        </w:rPr>
        <w:t>approval_history</w:t>
      </w:r>
      <w:r>
        <w:rPr>
          <w:rFonts w:ascii="Calibri" w:hAnsi="Calibri"/>
          <w:sz w:val="22"/>
        </w:rPr>
        <w:t>;</w:t>
      </w:r>
    </w:p>
    <w:p>
      <w:pPr>
        <w:spacing w:after="80" w:line="300" w:lineRule="auto"/>
        <w:numPr>
          <w:ilvl w:val="0"/>
          <w:numId w:val="10"/>
        </w:numPr>
      </w:pPr>
      <w:r>
        <w:rPr>
          <w:rFonts w:ascii="Consolas" w:hAnsi="Consolas"/>
          <w:color w:val="1F4D78"/>
          <w:sz w:val="20"/>
        </w:rPr>
        <w:t>budget_accounts</w:t>
      </w:r>
      <w:r>
        <w:rPr>
          <w:rFonts w:ascii="Calibri" w:hAnsi="Calibri"/>
          <w:sz w:val="22"/>
        </w:rPr>
        <w:t xml:space="preserve">, </w:t>
      </w:r>
      <w:r>
        <w:rPr>
          <w:rFonts w:ascii="Consolas" w:hAnsi="Consolas"/>
          <w:color w:val="1F4D78"/>
          <w:sz w:val="20"/>
        </w:rPr>
        <w:t>budget_reservations</w:t>
      </w:r>
      <w:r>
        <w:rPr>
          <w:rFonts w:ascii="Calibri" w:hAnsi="Calibri"/>
          <w:sz w:val="22"/>
        </w:rPr>
        <w:t xml:space="preserve">, </w:t>
      </w:r>
      <w:r>
        <w:rPr>
          <w:rFonts w:ascii="Consolas" w:hAnsi="Consolas"/>
          <w:color w:val="1F4D78"/>
          <w:sz w:val="20"/>
        </w:rPr>
        <w:t>usage_observations</w:t>
      </w:r>
      <w:r>
        <w:rPr>
          <w:rFonts w:ascii="Calibri" w:hAnsi="Calibri"/>
          <w:sz w:val="22"/>
        </w:rPr>
        <w:t xml:space="preserve">, </w:t>
      </w:r>
      <w:r>
        <w:rPr>
          <w:rFonts w:ascii="Consolas" w:hAnsi="Consolas"/>
          <w:color w:val="1F4D78"/>
          <w:sz w:val="20"/>
        </w:rPr>
        <w:t>cost_ledger</w:t>
      </w:r>
      <w:r>
        <w:rPr>
          <w:rFonts w:ascii="Calibri" w:hAnsi="Calibri"/>
          <w:sz w:val="22"/>
        </w:rPr>
        <w:t>;</w:t>
      </w:r>
    </w:p>
    <w:p>
      <w:pPr>
        <w:spacing w:after="80" w:line="300" w:lineRule="auto"/>
        <w:numPr>
          <w:ilvl w:val="0"/>
          <w:numId w:val="10"/>
        </w:numPr>
      </w:pPr>
      <w:r>
        <w:rPr>
          <w:rFonts w:ascii="Consolas" w:hAnsi="Consolas"/>
          <w:color w:val="1F4D78"/>
          <w:sz w:val="20"/>
        </w:rPr>
        <w:t>policies</w:t>
      </w:r>
      <w:r>
        <w:rPr>
          <w:rFonts w:ascii="Calibri" w:hAnsi="Calibri"/>
          <w:sz w:val="22"/>
        </w:rPr>
        <w:t xml:space="preserve">, </w:t>
      </w:r>
      <w:r>
        <w:rPr>
          <w:rFonts w:ascii="Consolas" w:hAnsi="Consolas"/>
          <w:color w:val="1F4D78"/>
          <w:sz w:val="20"/>
        </w:rPr>
        <w:t>policy_decisions</w:t>
      </w:r>
      <w:r>
        <w:rPr>
          <w:rFonts w:ascii="Calibri" w:hAnsi="Calibri"/>
          <w:sz w:val="22"/>
        </w:rPr>
        <w:t>;</w:t>
      </w:r>
    </w:p>
    <w:p>
      <w:pPr>
        <w:spacing w:after="80" w:line="300" w:lineRule="auto"/>
        <w:numPr>
          <w:ilvl w:val="0"/>
          <w:numId w:val="10"/>
        </w:numPr>
      </w:pPr>
      <w:r>
        <w:rPr>
          <w:rFonts w:ascii="Consolas" w:hAnsi="Consolas"/>
          <w:color w:val="1F4D78"/>
          <w:sz w:val="20"/>
        </w:rPr>
        <w:t>agent_registrations</w:t>
      </w:r>
      <w:r>
        <w:rPr>
          <w:rFonts w:ascii="Calibri" w:hAnsi="Calibri"/>
          <w:sz w:val="22"/>
        </w:rPr>
        <w:t xml:space="preserve">, </w:t>
      </w:r>
      <w:r>
        <w:rPr>
          <w:rFonts w:ascii="Consolas" w:hAnsi="Consolas"/>
          <w:color w:val="1F4D78"/>
          <w:sz w:val="20"/>
        </w:rPr>
        <w:t>harness_evaluations</w:t>
      </w:r>
      <w:r>
        <w:rPr>
          <w:rFonts w:ascii="Calibri" w:hAnsi="Calibri"/>
          <w:sz w:val="22"/>
        </w:rPr>
        <w:t>;</w:t>
      </w:r>
    </w:p>
    <w:p>
      <w:pPr>
        <w:spacing w:after="80" w:line="300" w:lineRule="auto"/>
        <w:numPr>
          <w:ilvl w:val="0"/>
          <w:numId w:val="10"/>
        </w:numPr>
      </w:pPr>
      <w:r>
        <w:rPr>
          <w:rFonts w:ascii="Consolas" w:hAnsi="Consolas"/>
          <w:color w:val="1F4D78"/>
          <w:sz w:val="20"/>
        </w:rPr>
        <w:t>runtime_events</w:t>
      </w:r>
      <w:r>
        <w:rPr>
          <w:rFonts w:ascii="Calibri" w:hAnsi="Calibri"/>
          <w:sz w:val="22"/>
        </w:rPr>
        <w:t xml:space="preserve">, </w:t>
      </w:r>
      <w:r>
        <w:rPr>
          <w:rFonts w:ascii="Consolas" w:hAnsi="Consolas"/>
          <w:color w:val="1F4D78"/>
          <w:sz w:val="20"/>
        </w:rPr>
        <w:t>audit_events</w:t>
      </w:r>
      <w:r>
        <w:rPr>
          <w:rFonts w:ascii="Calibri" w:hAnsi="Calibri"/>
          <w:sz w:val="22"/>
        </w:rPr>
        <w:t xml:space="preserve">, </w:t>
      </w:r>
      <w:r>
        <w:rPr>
          <w:rFonts w:ascii="Consolas" w:hAnsi="Consolas"/>
          <w:color w:val="1F4D78"/>
          <w:sz w:val="20"/>
        </w:rPr>
        <w:t>outbox</w:t>
      </w:r>
      <w:r>
        <w:rPr>
          <w:rFonts w:ascii="Calibri" w:hAnsi="Calibri"/>
          <w:sz w:val="22"/>
        </w:rPr>
        <w:t>;</w:t>
      </w:r>
    </w:p>
    <w:p>
      <w:pPr>
        <w:spacing w:after="80" w:line="300" w:lineRule="auto"/>
        <w:numPr>
          <w:ilvl w:val="0"/>
          <w:numId w:val="10"/>
        </w:numPr>
      </w:pPr>
      <w:r>
        <w:rPr>
          <w:rFonts w:ascii="Calibri" w:hAnsi="Calibri"/>
          <w:sz w:val="22"/>
        </w:rPr>
        <w:t>projection tables for workflows, jobs, compute, artifacts, costs, approvals, and audits.</w:t>
      </w:r>
    </w:p>
    <w:p>
      <w:pPr>
        <w:spacing w:after="120" w:line="300" w:lineRule="auto"/>
      </w:pPr>
      <w:r>
        <w:rPr>
          <w:rFonts w:ascii="Calibri" w:hAnsi="Calibri"/>
          <w:sz w:val="22"/>
        </w:rPr>
        <w:t xml:space="preserve">Every tenant-owned table includes </w:t>
      </w:r>
      <w:r>
        <w:rPr>
          <w:rFonts w:ascii="Consolas" w:hAnsi="Consolas"/>
          <w:color w:val="1F4D78"/>
          <w:sz w:val="20"/>
        </w:rPr>
        <w:t>tenant_id</w:t>
      </w:r>
      <w:r>
        <w:rPr>
          <w:rFonts w:ascii="Calibri" w:hAnsi="Calibri"/>
          <w:sz w:val="22"/>
        </w:rPr>
        <w:t>. Queries must require tenant scope at the repository boundary. Add row-level security only as defense in depth; application scoping remains mandatory.</w:t>
      </w:r>
    </w:p>
    <w:p>
      <w:pPr>
        <w:pStyle w:val="Heading2"/>
        <w:keepNext w:val="1"/>
      </w:pPr>
      <w:r>
        <w:rPr>
          <w:rFonts w:ascii="Calibri" w:hAnsi="Calibri"/>
          <w:b/>
          <w:color w:val="2E74B5"/>
          <w:sz w:val="26"/>
        </w:rPr>
        <w:t>7.2 Event log rules</w:t>
      </w:r>
    </w:p>
    <w:p>
      <w:pPr>
        <w:spacing w:after="80" w:line="300" w:lineRule="auto"/>
        <w:numPr>
          <w:ilvl w:val="0"/>
          <w:numId w:val="10"/>
        </w:numPr>
      </w:pPr>
      <w:r>
        <w:rPr>
          <w:rFonts w:ascii="Consolas" w:hAnsi="Consolas"/>
          <w:color w:val="1F4D78"/>
          <w:sz w:val="20"/>
        </w:rPr>
        <w:t>(aggregate_type, aggregate_id, aggregate_version)</w:t>
      </w:r>
      <w:r>
        <w:rPr>
          <w:rFonts w:ascii="Calibri" w:hAnsi="Calibri"/>
          <w:sz w:val="22"/>
        </w:rPr>
        <w:t xml:space="preserve"> is unique.</w:t>
      </w:r>
    </w:p>
    <w:p>
      <w:pPr>
        <w:spacing w:after="80" w:line="300" w:lineRule="auto"/>
        <w:numPr>
          <w:ilvl w:val="0"/>
          <w:numId w:val="10"/>
        </w:numPr>
      </w:pPr>
      <w:r>
        <w:rPr>
          <w:rFonts w:ascii="Consolas" w:hAnsi="Consolas"/>
          <w:color w:val="1F4D78"/>
          <w:sz w:val="20"/>
        </w:rPr>
        <w:t>event_id</w:t>
      </w:r>
      <w:r>
        <w:rPr>
          <w:rFonts w:ascii="Calibri" w:hAnsi="Calibri"/>
          <w:sz w:val="22"/>
        </w:rPr>
        <w:t xml:space="preserve"> is globally unique.</w:t>
      </w:r>
    </w:p>
    <w:p>
      <w:pPr>
        <w:spacing w:after="80" w:line="300" w:lineRule="auto"/>
        <w:numPr>
          <w:ilvl w:val="0"/>
          <w:numId w:val="10"/>
        </w:numPr>
      </w:pPr>
      <w:r>
        <w:rPr>
          <w:rFonts w:ascii="Consolas" w:hAnsi="Consolas"/>
          <w:color w:val="1F4D78"/>
          <w:sz w:val="20"/>
        </w:rPr>
        <w:t>correlation_id</w:t>
      </w:r>
      <w:r>
        <w:rPr>
          <w:rFonts w:ascii="Calibri" w:hAnsi="Calibri"/>
          <w:sz w:val="22"/>
        </w:rPr>
        <w:t xml:space="preserve"> follows the originating command or workflow.</w:t>
      </w:r>
    </w:p>
    <w:p>
      <w:pPr>
        <w:spacing w:after="80" w:line="300" w:lineRule="auto"/>
        <w:numPr>
          <w:ilvl w:val="0"/>
          <w:numId w:val="10"/>
        </w:numPr>
      </w:pPr>
      <w:r>
        <w:rPr>
          <w:rFonts w:ascii="Consolas" w:hAnsi="Consolas"/>
          <w:color w:val="1F4D78"/>
          <w:sz w:val="20"/>
        </w:rPr>
        <w:t>causation_id</w:t>
      </w:r>
      <w:r>
        <w:rPr>
          <w:rFonts w:ascii="Calibri" w:hAnsi="Calibri"/>
          <w:sz w:val="22"/>
        </w:rPr>
        <w:t xml:space="preserve"> points to the direct causing command, event, or invocation.</w:t>
      </w:r>
    </w:p>
    <w:p>
      <w:pPr>
        <w:spacing w:after="80" w:line="300" w:lineRule="auto"/>
        <w:numPr>
          <w:ilvl w:val="0"/>
          <w:numId w:val="10"/>
        </w:numPr>
      </w:pPr>
      <w:r>
        <w:rPr>
          <w:rFonts w:ascii="Calibri" w:hAnsi="Calibri"/>
          <w:sz w:val="22"/>
        </w:rPr>
        <w:t>Event append and aggregate write occur in one transaction.</w:t>
      </w:r>
    </w:p>
    <w:p>
      <w:pPr>
        <w:spacing w:after="80" w:line="300" w:lineRule="auto"/>
        <w:numPr>
          <w:ilvl w:val="0"/>
          <w:numId w:val="10"/>
        </w:numPr>
      </w:pPr>
      <w:r>
        <w:rPr>
          <w:rFonts w:ascii="Calibri" w:hAnsi="Calibri"/>
          <w:sz w:val="22"/>
        </w:rPr>
        <w:t xml:space="preserve">Consumers are idempotent using </w:t>
      </w:r>
      <w:r>
        <w:rPr>
          <w:rFonts w:ascii="Consolas" w:hAnsi="Consolas"/>
          <w:color w:val="1F4D78"/>
          <w:sz w:val="20"/>
        </w:rPr>
        <w:t>(consumer_name, event_id)</w:t>
      </w:r>
      <w:r>
        <w:rPr>
          <w:rFonts w:ascii="Calibri" w:hAnsi="Calibri"/>
          <w:sz w:val="22"/>
        </w:rPr>
        <w:t xml:space="preserve"> or projection cursor.</w:t>
      </w:r>
    </w:p>
    <w:p>
      <w:pPr>
        <w:spacing w:after="80" w:line="300" w:lineRule="auto"/>
        <w:numPr>
          <w:ilvl w:val="0"/>
          <w:numId w:val="10"/>
        </w:numPr>
      </w:pPr>
      <w:r>
        <w:rPr>
          <w:rFonts w:ascii="Calibri" w:hAnsi="Calibri"/>
          <w:sz w:val="22"/>
        </w:rPr>
        <w:t>Outbox publication is at-least-once; duplicate delivery is expected.</w:t>
      </w:r>
    </w:p>
    <w:p>
      <w:pPr>
        <w:spacing w:after="80" w:line="300" w:lineRule="auto"/>
        <w:numPr>
          <w:ilvl w:val="0"/>
          <w:numId w:val="10"/>
        </w:numPr>
      </w:pPr>
      <w:r>
        <w:rPr>
          <w:rFonts w:ascii="Calibri" w:hAnsi="Calibri"/>
          <w:sz w:val="22"/>
        </w:rPr>
        <w:t>Projection rebuild reads the authoritative database event log, not NATS retention.</w:t>
      </w:r>
    </w:p>
    <w:p>
      <w:pPr>
        <w:pStyle w:val="Heading2"/>
        <w:keepNext w:val="1"/>
      </w:pPr>
      <w:r>
        <w:rPr>
          <w:rFonts w:ascii="Calibri" w:hAnsi="Calibri"/>
          <w:b/>
          <w:color w:val="2E74B5"/>
          <w:sz w:val="26"/>
        </w:rPr>
        <w:t>7.3 Artifact publication protocol</w:t>
      </w:r>
    </w:p>
    <w:p>
      <w:pPr>
        <w:spacing w:after="80" w:line="300" w:lineRule="auto"/>
        <w:numPr>
          <w:ilvl w:val="0"/>
          <w:numId w:val="15"/>
        </w:numPr>
      </w:pPr>
      <w:r>
        <w:rPr>
          <w:rFonts w:ascii="Calibri" w:hAnsi="Calibri"/>
          <w:sz w:val="22"/>
        </w:rPr>
        <w:t>Create upload intent with maximum size, media type, classification, and expiry.</w:t>
      </w:r>
    </w:p>
    <w:p>
      <w:pPr>
        <w:spacing w:after="80" w:line="300" w:lineRule="auto"/>
        <w:numPr>
          <w:ilvl w:val="0"/>
          <w:numId w:val="15"/>
        </w:numPr>
      </w:pPr>
      <w:r>
        <w:rPr>
          <w:rFonts w:ascii="Calibri" w:hAnsi="Calibri"/>
          <w:sz w:val="22"/>
        </w:rPr>
        <w:t>Upload to invocation-scoped staging storage.</w:t>
      </w:r>
    </w:p>
    <w:p>
      <w:pPr>
        <w:spacing w:after="80" w:line="300" w:lineRule="auto"/>
        <w:numPr>
          <w:ilvl w:val="0"/>
          <w:numId w:val="15"/>
        </w:numPr>
      </w:pPr>
      <w:r>
        <w:rPr>
          <w:rFonts w:ascii="Calibri" w:hAnsi="Calibri"/>
          <w:sz w:val="22"/>
        </w:rPr>
        <w:t>Stream-compute content hash and malware/security scan where applicable.</w:t>
      </w:r>
    </w:p>
    <w:p>
      <w:pPr>
        <w:spacing w:after="80" w:line="300" w:lineRule="auto"/>
        <w:numPr>
          <w:ilvl w:val="0"/>
          <w:numId w:val="15"/>
        </w:numPr>
      </w:pPr>
      <w:r>
        <w:rPr>
          <w:rFonts w:ascii="Calibri" w:hAnsi="Calibri"/>
          <w:sz w:val="22"/>
        </w:rPr>
        <w:t>Validate content against artifact schema and acceptance policy.</w:t>
      </w:r>
    </w:p>
    <w:p>
      <w:pPr>
        <w:spacing w:after="80" w:line="300" w:lineRule="auto"/>
        <w:numPr>
          <w:ilvl w:val="0"/>
          <w:numId w:val="15"/>
        </w:numPr>
      </w:pPr>
      <w:r>
        <w:rPr>
          <w:rFonts w:ascii="Calibri" w:hAnsi="Calibri"/>
          <w:sz w:val="22"/>
        </w:rPr>
        <w:t>Verify lineage references and tenant ownership.</w:t>
      </w:r>
    </w:p>
    <w:p>
      <w:pPr>
        <w:spacing w:after="80" w:line="300" w:lineRule="auto"/>
        <w:numPr>
          <w:ilvl w:val="0"/>
          <w:numId w:val="15"/>
        </w:numPr>
      </w:pPr>
      <w:r>
        <w:rPr>
          <w:rFonts w:ascii="Calibri" w:hAnsi="Calibri"/>
          <w:sz w:val="22"/>
        </w:rPr>
        <w:t>In one transaction, assign the next version, write metadata, lineage, audit, and outbox events.</w:t>
      </w:r>
    </w:p>
    <w:p>
      <w:pPr>
        <w:spacing w:after="80" w:line="300" w:lineRule="auto"/>
        <w:numPr>
          <w:ilvl w:val="0"/>
          <w:numId w:val="15"/>
        </w:numPr>
      </w:pPr>
      <w:r>
        <w:rPr>
          <w:rFonts w:ascii="Calibri" w:hAnsi="Calibri"/>
          <w:sz w:val="22"/>
        </w:rPr>
        <w:t>Copy or promote the staged object to its content-addressed final key.</w:t>
      </w:r>
    </w:p>
    <w:p>
      <w:pPr>
        <w:spacing w:after="80" w:line="300" w:lineRule="auto"/>
        <w:numPr>
          <w:ilvl w:val="0"/>
          <w:numId w:val="15"/>
        </w:numPr>
      </w:pPr>
      <w:r>
        <w:rPr>
          <w:rFonts w:ascii="Calibri" w:hAnsi="Calibri"/>
          <w:sz w:val="22"/>
        </w:rPr>
        <w:t>If object promotion fails, mark publication pending and reconcile; never expose a valid metadata record pointing to missing content.</w:t>
      </w:r>
    </w:p>
    <w:p>
      <w:pPr>
        <w:spacing w:after="80" w:line="300" w:lineRule="auto"/>
        <w:numPr>
          <w:ilvl w:val="0"/>
          <w:numId w:val="15"/>
        </w:numPr>
      </w:pPr>
      <w:r>
        <w:rPr>
          <w:rFonts w:ascii="Calibri" w:hAnsi="Calibri"/>
          <w:sz w:val="22"/>
        </w:rPr>
        <w:t xml:space="preserve">Emit </w:t>
      </w:r>
      <w:r>
        <w:rPr>
          <w:rFonts w:ascii="Consolas" w:hAnsi="Consolas"/>
          <w:color w:val="1F4D78"/>
          <w:sz w:val="20"/>
        </w:rPr>
        <w:t>artifact.published.v1</w:t>
      </w:r>
      <w:r>
        <w:rPr>
          <w:rFonts w:ascii="Calibri" w:hAnsi="Calibri"/>
          <w:sz w:val="22"/>
        </w:rPr>
        <w:t xml:space="preserve"> only when content is readable and hash-verified.</w:t>
      </w:r>
    </w:p>
    <w:p>
      <w:pPr>
        <w:pStyle w:val="Heading2"/>
        <w:keepNext w:val="1"/>
      </w:pPr>
      <w:r>
        <w:rPr>
          <w:rFonts w:ascii="Calibri" w:hAnsi="Calibri"/>
          <w:b/>
          <w:color w:val="2E74B5"/>
          <w:sz w:val="26"/>
        </w:rPr>
        <w:t>7.4 Human edit precedence</w:t>
      </w:r>
    </w:p>
    <w:p>
      <w:pPr>
        <w:spacing w:after="120" w:line="300" w:lineRule="auto"/>
      </w:pPr>
      <w:r>
        <w:rPr>
          <w:rFonts w:ascii="Calibri" w:hAnsi="Calibri"/>
          <w:sz w:val="22"/>
        </w:rPr>
        <w:t xml:space="preserve">Human edits create a new version with </w:t>
      </w:r>
      <w:r>
        <w:rPr>
          <w:rFonts w:ascii="Consolas" w:hAnsi="Consolas"/>
          <w:color w:val="1F4D78"/>
          <w:sz w:val="20"/>
        </w:rPr>
        <w:t>authority=human</w:t>
      </w:r>
      <w:r>
        <w:rPr>
          <w:rFonts w:ascii="Calibri" w:hAnsi="Calibri"/>
          <w:sz w:val="22"/>
        </w:rPr>
        <w:t xml:space="preserve">. Agent commits use optimistic concurrency. If the latest version changed while an invocation ran, the agent commit fails with </w:t>
      </w:r>
      <w:r>
        <w:rPr>
          <w:rFonts w:ascii="Consolas" w:hAnsi="Consolas"/>
          <w:color w:val="1F4D78"/>
          <w:sz w:val="20"/>
        </w:rPr>
        <w:t>VERSION_CONFLICT</w:t>
      </w:r>
      <w:r>
        <w:rPr>
          <w:rFonts w:ascii="Calibri" w:hAnsi="Calibri"/>
          <w:sz w:val="22"/>
        </w:rPr>
        <w:t xml:space="preserve">. The specialist may rebase only by loading the new human version, treating protected fields as constraints, and producing a candidate version. Downstream artifacts become </w:t>
      </w:r>
      <w:r>
        <w:rPr>
          <w:rFonts w:ascii="Consolas" w:hAnsi="Consolas"/>
          <w:color w:val="1F4D78"/>
          <w:sz w:val="20"/>
        </w:rPr>
        <w:t>STALE</w:t>
      </w:r>
      <w:r>
        <w:rPr>
          <w:rFonts w:ascii="Calibri" w:hAnsi="Calibri"/>
          <w:sz w:val="22"/>
        </w:rPr>
        <w:t xml:space="preserve"> through lineage traversal when their inputs are superseded or invalidated.</w:t>
      </w:r>
    </w:p>
    <w:p>
      <w:pPr>
        <w:pStyle w:val="Heading2"/>
        <w:keepNext w:val="1"/>
      </w:pPr>
      <w:r>
        <w:rPr>
          <w:rFonts w:ascii="Calibri" w:hAnsi="Calibri"/>
          <w:b/>
          <w:color w:val="2E74B5"/>
          <w:sz w:val="26"/>
        </w:rPr>
        <w:t>7.5 Projection rules</w:t>
      </w:r>
    </w:p>
    <w:p>
      <w:pPr>
        <w:spacing w:after="80" w:line="300" w:lineRule="auto"/>
        <w:numPr>
          <w:ilvl w:val="0"/>
          <w:numId w:val="10"/>
        </w:numPr>
      </w:pPr>
      <w:r>
        <w:rPr>
          <w:rFonts w:ascii="Calibri" w:hAnsi="Calibri"/>
          <w:sz w:val="22"/>
        </w:rPr>
        <w:t>Projections are disposable and rebuildable.</w:t>
      </w:r>
    </w:p>
    <w:p>
      <w:pPr>
        <w:spacing w:after="80" w:line="300" w:lineRule="auto"/>
        <w:numPr>
          <w:ilvl w:val="0"/>
          <w:numId w:val="10"/>
        </w:numPr>
      </w:pPr>
      <w:r>
        <w:rPr>
          <w:rFonts w:ascii="Calibri" w:hAnsi="Calibri"/>
          <w:sz w:val="22"/>
        </w:rPr>
        <w:t>Each workspace projection has a monotonic cursor.</w:t>
      </w:r>
    </w:p>
    <w:p>
      <w:pPr>
        <w:spacing w:after="80" w:line="300" w:lineRule="auto"/>
        <w:numPr>
          <w:ilvl w:val="0"/>
          <w:numId w:val="10"/>
        </w:numPr>
      </w:pPr>
      <w:r>
        <w:rPr>
          <w:rFonts w:ascii="Calibri" w:hAnsi="Calibri"/>
          <w:sz w:val="22"/>
        </w:rPr>
        <w:t>A projection update is idempotent and transactional.</w:t>
      </w:r>
    </w:p>
    <w:p>
      <w:pPr>
        <w:spacing w:after="80" w:line="300" w:lineRule="auto"/>
        <w:numPr>
          <w:ilvl w:val="0"/>
          <w:numId w:val="10"/>
        </w:numPr>
      </w:pPr>
      <w:r>
        <w:rPr>
          <w:rFonts w:ascii="Calibri" w:hAnsi="Calibri"/>
          <w:sz w:val="22"/>
        </w:rPr>
        <w:t xml:space="preserve">The API returns </w:t>
      </w:r>
      <w:r>
        <w:rPr>
          <w:rFonts w:ascii="Consolas" w:hAnsi="Consolas"/>
          <w:color w:val="1F4D78"/>
          <w:sz w:val="20"/>
        </w:rPr>
        <w:t>projectionVersion</w:t>
      </w:r>
      <w:r>
        <w:rPr>
          <w:rFonts w:ascii="Calibri" w:hAnsi="Calibri"/>
          <w:sz w:val="22"/>
        </w:rPr>
        <w:t xml:space="preserve"> and </w:t>
      </w:r>
      <w:r>
        <w:rPr>
          <w:rFonts w:ascii="Consolas" w:hAnsi="Consolas"/>
          <w:color w:val="1F4D78"/>
          <w:sz w:val="20"/>
        </w:rPr>
        <w:t>cursor</w:t>
      </w:r>
      <w:r>
        <w:rPr>
          <w:rFonts w:ascii="Calibri" w:hAnsi="Calibri"/>
          <w:sz w:val="22"/>
        </w:rPr>
        <w:t xml:space="preserve"> for debugging.</w:t>
      </w:r>
    </w:p>
    <w:p>
      <w:pPr>
        <w:spacing w:after="80" w:line="300" w:lineRule="auto"/>
        <w:numPr>
          <w:ilvl w:val="0"/>
          <w:numId w:val="10"/>
        </w:numPr>
      </w:pPr>
      <w:r>
        <w:rPr>
          <w:rFonts w:ascii="Calibri" w:hAnsi="Calibri"/>
          <w:sz w:val="22"/>
        </w:rPr>
        <w:t>Chat, panels, notifications, and exports read the same projection DTOs.</w:t>
      </w:r>
    </w:p>
    <w:p>
      <w:pPr>
        <w:spacing w:after="80" w:line="300" w:lineRule="auto"/>
        <w:numPr>
          <w:ilvl w:val="0"/>
          <w:numId w:val="10"/>
        </w:numPr>
      </w:pPr>
      <w:r>
        <w:rPr>
          <w:rFonts w:ascii="Calibri" w:hAnsi="Calibri"/>
          <w:sz w:val="22"/>
        </w:rPr>
        <w:t>No projection writes authoritative state.</w:t>
      </w:r>
    </w:p>
    <w:p>
      <w:pPr>
        <w:pStyle w:val="Heading2"/>
        <w:keepNext w:val="1"/>
      </w:pPr>
      <w:r>
        <w:rPr>
          <w:rFonts w:ascii="Calibri" w:hAnsi="Calibri"/>
          <w:b/>
          <w:color w:val="2E74B5"/>
          <w:sz w:val="26"/>
        </w:rPr>
        <w:t>7.6 State phase acceptance criteria</w:t>
      </w:r>
    </w:p>
    <w:p>
      <w:pPr>
        <w:spacing w:after="80" w:line="300" w:lineRule="auto"/>
        <w:numPr>
          <w:ilvl w:val="0"/>
          <w:numId w:val="10"/>
        </w:numPr>
      </w:pPr>
      <w:r>
        <w:rPr>
          <w:rFonts w:ascii="Calibri" w:hAnsi="Calibri"/>
          <w:sz w:val="22"/>
        </w:rPr>
        <w:t>Migrations apply from zero and roll forward on PostgreSQL and SQLite.</w:t>
      </w:r>
    </w:p>
    <w:p>
      <w:pPr>
        <w:spacing w:after="80" w:line="300" w:lineRule="auto"/>
        <w:numPr>
          <w:ilvl w:val="0"/>
          <w:numId w:val="10"/>
        </w:numPr>
      </w:pPr>
      <w:r>
        <w:rPr>
          <w:rFonts w:ascii="Calibri" w:hAnsi="Calibri"/>
          <w:sz w:val="22"/>
        </w:rPr>
        <w:t>Concurrent artifact writes produce one winner and one version conflict.</w:t>
      </w:r>
    </w:p>
    <w:p>
      <w:pPr>
        <w:spacing w:after="80" w:line="300" w:lineRule="auto"/>
        <w:numPr>
          <w:ilvl w:val="0"/>
          <w:numId w:val="10"/>
        </w:numPr>
      </w:pPr>
      <w:r>
        <w:rPr>
          <w:rFonts w:ascii="Calibri" w:hAnsi="Calibri"/>
          <w:sz w:val="22"/>
        </w:rPr>
        <w:t>Duplicate commands return the original result without duplicate events.</w:t>
      </w:r>
    </w:p>
    <w:p>
      <w:pPr>
        <w:spacing w:after="80" w:line="300" w:lineRule="auto"/>
        <w:numPr>
          <w:ilvl w:val="0"/>
          <w:numId w:val="10"/>
        </w:numPr>
      </w:pPr>
      <w:r>
        <w:rPr>
          <w:rFonts w:ascii="Calibri" w:hAnsi="Calibri"/>
          <w:sz w:val="22"/>
        </w:rPr>
        <w:t>Outbox retry does not duplicate projection effects.</w:t>
      </w:r>
    </w:p>
    <w:p>
      <w:pPr>
        <w:spacing w:after="80" w:line="300" w:lineRule="auto"/>
        <w:numPr>
          <w:ilvl w:val="0"/>
          <w:numId w:val="10"/>
        </w:numPr>
      </w:pPr>
      <w:r>
        <w:rPr>
          <w:rFonts w:ascii="Calibri" w:hAnsi="Calibri"/>
          <w:sz w:val="22"/>
        </w:rPr>
        <w:t>Full projection rebuild produces byte-equivalent normalized results.</w:t>
      </w:r>
    </w:p>
    <w:p>
      <w:pPr>
        <w:spacing w:after="80" w:line="300" w:lineRule="auto"/>
        <w:numPr>
          <w:ilvl w:val="0"/>
          <w:numId w:val="10"/>
        </w:numPr>
      </w:pPr>
      <w:r>
        <w:rPr>
          <w:rFonts w:ascii="Calibri" w:hAnsi="Calibri"/>
          <w:sz w:val="22"/>
        </w:rPr>
        <w:t>Missing or hash-mismatched artifact content is rejected.</w:t>
      </w:r>
    </w:p>
    <w:p>
      <w:pPr>
        <w:spacing w:after="80" w:line="300" w:lineRule="auto"/>
        <w:numPr>
          <w:ilvl w:val="0"/>
          <w:numId w:val="10"/>
        </w:numPr>
      </w:pPr>
      <w:r>
        <w:rPr>
          <w:rFonts w:ascii="Calibri" w:hAnsi="Calibri"/>
          <w:sz w:val="22"/>
        </w:rPr>
        <w:t>Cross-tenant reads and lineage links fail.</w:t>
      </w:r>
    </w:p>
    <w:p>
      <w:pPr>
        <w:pStyle w:val="Heading1"/>
        <w:keepNext w:val="1"/>
      </w:pPr>
      <w:r>
        <w:rPr>
          <w:rFonts w:ascii="Calibri" w:hAnsi="Calibri"/>
          <w:b/>
          <w:color w:val="2E74B5"/>
          <w:sz w:val="32"/>
        </w:rPr>
        <w:t>8. Authority, Policy, Approval, Budget, and Audit</w:t>
      </w:r>
    </w:p>
    <w:p>
      <w:pPr>
        <w:pStyle w:val="Heading2"/>
        <w:keepNext w:val="1"/>
      </w:pPr>
      <w:r>
        <w:rPr>
          <w:rFonts w:ascii="Calibri" w:hAnsi="Calibri"/>
          <w:b/>
          <w:color w:val="2E74B5"/>
          <w:sz w:val="26"/>
        </w:rPr>
        <w:t>8.1 Authority envelope</w:t>
      </w:r>
    </w:p>
    <w:p>
      <w:pPr>
        <w:spacing w:after="120" w:line="300" w:lineRule="auto"/>
      </w:pPr>
      <w:r>
        <w:rPr>
          <w:rFonts w:ascii="Calibri" w:hAnsi="Calibri"/>
          <w:sz w:val="22"/>
        </w:rPr>
        <w:t xml:space="preserve">An </w:t>
      </w:r>
      <w:r>
        <w:rPr>
          <w:rFonts w:ascii="Consolas" w:hAnsi="Consolas"/>
          <w:color w:val="1F4D78"/>
          <w:sz w:val="20"/>
        </w:rPr>
        <w:t>AuthorityEnvelope</w:t>
      </w:r>
      <w:r>
        <w:rPr>
          <w:rFonts w:ascii="Calibri" w:hAnsi="Calibri"/>
          <w:sz w:val="22"/>
        </w:rPr>
        <w:t xml:space="preserve"> is minted by the control plane and contains:</w:t>
      </w:r>
    </w:p>
    <w:p>
      <w:pPr>
        <w:spacing w:after="80" w:line="300" w:lineRule="auto"/>
        <w:numPr>
          <w:ilvl w:val="0"/>
          <w:numId w:val="10"/>
        </w:numPr>
      </w:pPr>
      <w:r>
        <w:rPr>
          <w:rFonts w:ascii="Calibri" w:hAnsi="Calibri"/>
          <w:sz w:val="22"/>
        </w:rPr>
        <w:t>subject actor or invocation;</w:t>
      </w:r>
    </w:p>
    <w:p>
      <w:pPr>
        <w:spacing w:after="80" w:line="300" w:lineRule="auto"/>
        <w:numPr>
          <w:ilvl w:val="0"/>
          <w:numId w:val="10"/>
        </w:numPr>
      </w:pPr>
      <w:r>
        <w:rPr>
          <w:rFonts w:ascii="Calibri" w:hAnsi="Calibri"/>
          <w:sz w:val="22"/>
        </w:rPr>
        <w:t>tenant and workspace;</w:t>
      </w:r>
    </w:p>
    <w:p>
      <w:pPr>
        <w:spacing w:after="80" w:line="300" w:lineRule="auto"/>
        <w:numPr>
          <w:ilvl w:val="0"/>
          <w:numId w:val="10"/>
        </w:numPr>
      </w:pPr>
      <w:r>
        <w:rPr>
          <w:rFonts w:ascii="Calibri" w:hAnsi="Calibri"/>
          <w:sz w:val="22"/>
        </w:rPr>
        <w:t>allowed capabilities and operations;</w:t>
      </w:r>
    </w:p>
    <w:p>
      <w:pPr>
        <w:spacing w:after="80" w:line="300" w:lineRule="auto"/>
        <w:numPr>
          <w:ilvl w:val="0"/>
          <w:numId w:val="10"/>
        </w:numPr>
      </w:pPr>
      <w:r>
        <w:rPr>
          <w:rFonts w:ascii="Calibri" w:hAnsi="Calibri"/>
          <w:sz w:val="22"/>
        </w:rPr>
        <w:t>resource selectors;</w:t>
      </w:r>
    </w:p>
    <w:p>
      <w:pPr>
        <w:spacing w:after="80" w:line="300" w:lineRule="auto"/>
        <w:numPr>
          <w:ilvl w:val="0"/>
          <w:numId w:val="10"/>
        </w:numPr>
      </w:pPr>
      <w:r>
        <w:rPr>
          <w:rFonts w:ascii="Calibri" w:hAnsi="Calibri"/>
          <w:sz w:val="22"/>
        </w:rPr>
        <w:t>issue and expiry timestamps;</w:t>
      </w:r>
    </w:p>
    <w:p>
      <w:pPr>
        <w:spacing w:after="80" w:line="300" w:lineRule="auto"/>
        <w:numPr>
          <w:ilvl w:val="0"/>
          <w:numId w:val="10"/>
        </w:numPr>
      </w:pPr>
      <w:r>
        <w:rPr>
          <w:rFonts w:ascii="Calibri" w:hAnsi="Calibri"/>
          <w:sz w:val="22"/>
        </w:rPr>
        <w:t>maximum delegation tier;</w:t>
      </w:r>
    </w:p>
    <w:p>
      <w:pPr>
        <w:spacing w:after="80" w:line="300" w:lineRule="auto"/>
        <w:numPr>
          <w:ilvl w:val="0"/>
          <w:numId w:val="10"/>
        </w:numPr>
      </w:pPr>
      <w:r>
        <w:rPr>
          <w:rFonts w:ascii="Calibri" w:hAnsi="Calibri"/>
          <w:sz w:val="22"/>
        </w:rPr>
        <w:t>approval references;</w:t>
      </w:r>
    </w:p>
    <w:p>
      <w:pPr>
        <w:spacing w:after="80" w:line="300" w:lineRule="auto"/>
        <w:numPr>
          <w:ilvl w:val="0"/>
          <w:numId w:val="10"/>
        </w:numPr>
      </w:pPr>
      <w:r>
        <w:rPr>
          <w:rFonts w:ascii="Calibri" w:hAnsi="Calibri"/>
          <w:sz w:val="22"/>
        </w:rPr>
        <w:t>policy version;</w:t>
      </w:r>
    </w:p>
    <w:p>
      <w:pPr>
        <w:spacing w:after="80" w:line="300" w:lineRule="auto"/>
        <w:numPr>
          <w:ilvl w:val="0"/>
          <w:numId w:val="10"/>
        </w:numPr>
      </w:pPr>
      <w:r>
        <w:rPr>
          <w:rFonts w:ascii="Calibri" w:hAnsi="Calibri"/>
          <w:sz w:val="22"/>
        </w:rPr>
        <w:t>nonce and signature or server-side handle;</w:t>
      </w:r>
    </w:p>
    <w:p>
      <w:pPr>
        <w:spacing w:after="80" w:line="300" w:lineRule="auto"/>
        <w:numPr>
          <w:ilvl w:val="0"/>
          <w:numId w:val="10"/>
        </w:numPr>
      </w:pPr>
      <w:r>
        <w:rPr>
          <w:rFonts w:ascii="Calibri" w:hAnsi="Calibri"/>
          <w:sz w:val="22"/>
        </w:rPr>
        <w:t>revocation epoch.</w:t>
      </w:r>
    </w:p>
    <w:p>
      <w:pPr>
        <w:spacing w:after="120" w:line="300" w:lineRule="auto"/>
      </w:pPr>
      <w:r>
        <w:rPr>
          <w:rFonts w:ascii="Calibri" w:hAnsi="Calibri"/>
          <w:sz w:val="22"/>
        </w:rPr>
        <w:t>Authority is checked at tool-call time and again at commit time. A valid envelope is necessary but not sufficient; current policy, approval, budget, resource version, and revocation status must still pass.</w:t>
      </w:r>
    </w:p>
    <w:p>
      <w:pPr>
        <w:pStyle w:val="Heading2"/>
        <w:keepNext w:val="1"/>
      </w:pPr>
      <w:r>
        <w:rPr>
          <w:rFonts w:ascii="Calibri" w:hAnsi="Calibri"/>
          <w:b/>
          <w:color w:val="2E74B5"/>
          <w:sz w:val="26"/>
        </w:rPr>
        <w:t>8.2 Tool broker</w:t>
      </w:r>
    </w:p>
    <w:p>
      <w:pPr>
        <w:spacing w:after="120" w:line="300" w:lineRule="auto"/>
      </w:pPr>
      <w:r>
        <w:rPr>
          <w:rFonts w:ascii="Calibri" w:hAnsi="Calibri"/>
          <w:sz w:val="22"/>
        </w:rPr>
        <w:t xml:space="preserve">Implement </w:t>
      </w:r>
      <w:r>
        <w:rPr>
          <w:rFonts w:ascii="Consolas" w:hAnsi="Consolas"/>
          <w:color w:val="1F4D78"/>
          <w:sz w:val="20"/>
        </w:rPr>
        <w:t>ToolBroker.requestGrant</w:t>
      </w:r>
      <w:r>
        <w:rPr>
          <w:rFonts w:ascii="Calibri" w:hAnsi="Calibri"/>
          <w:sz w:val="22"/>
        </w:rPr>
        <w:t xml:space="preserve">, </w:t>
      </w:r>
      <w:r>
        <w:rPr>
          <w:rFonts w:ascii="Consolas" w:hAnsi="Consolas"/>
          <w:color w:val="1F4D78"/>
          <w:sz w:val="20"/>
        </w:rPr>
        <w:t>ToolBroker.invoke</w:t>
      </w:r>
      <w:r>
        <w:rPr>
          <w:rFonts w:ascii="Calibri" w:hAnsi="Calibri"/>
          <w:sz w:val="22"/>
        </w:rPr>
        <w:t xml:space="preserve">, and </w:t>
      </w:r>
      <w:r>
        <w:rPr>
          <w:rFonts w:ascii="Consolas" w:hAnsi="Consolas"/>
          <w:color w:val="1F4D78"/>
          <w:sz w:val="20"/>
        </w:rPr>
        <w:t>ToolBroker.revoke</w:t>
      </w:r>
      <w:r>
        <w:rPr>
          <w:rFonts w:ascii="Calibri" w:hAnsi="Calibri"/>
          <w:sz w:val="22"/>
        </w:rPr>
        <w:t>. Tool definitions declare operation schemas, risk class, side-effect class, required approvals, resource selector grammar, maximum output size, redaction policy, and audit fields.</w:t>
      </w:r>
    </w:p>
    <w:p>
      <w:pPr>
        <w:spacing w:after="120" w:line="300" w:lineRule="auto"/>
      </w:pPr>
      <w:r>
        <w:rPr>
          <w:rFonts w:ascii="Calibri" w:hAnsi="Calibri"/>
          <w:sz w:val="22"/>
        </w:rPr>
        <w:t>The broker pipeline is:</w:t>
      </w:r>
    </w:p>
    <w:p>
      <w:pPr>
        <w:spacing w:after="80" w:line="300" w:lineRule="auto"/>
        <w:numPr>
          <w:ilvl w:val="0"/>
          <w:numId w:val="16"/>
        </w:numPr>
      </w:pPr>
      <w:r>
        <w:rPr>
          <w:rFonts w:ascii="Calibri" w:hAnsi="Calibri"/>
          <w:sz w:val="22"/>
        </w:rPr>
        <w:t>validate request schema;</w:t>
      </w:r>
    </w:p>
    <w:p>
      <w:pPr>
        <w:spacing w:after="80" w:line="300" w:lineRule="auto"/>
        <w:numPr>
          <w:ilvl w:val="0"/>
          <w:numId w:val="16"/>
        </w:numPr>
      </w:pPr>
      <w:r>
        <w:rPr>
          <w:rFonts w:ascii="Calibri" w:hAnsi="Calibri"/>
          <w:sz w:val="22"/>
        </w:rPr>
        <w:t>resolve invocation and current state;</w:t>
      </w:r>
    </w:p>
    <w:p>
      <w:pPr>
        <w:spacing w:after="80" w:line="300" w:lineRule="auto"/>
        <w:numPr>
          <w:ilvl w:val="0"/>
          <w:numId w:val="16"/>
        </w:numPr>
      </w:pPr>
      <w:r>
        <w:rPr>
          <w:rFonts w:ascii="Calibri" w:hAnsi="Calibri"/>
          <w:sz w:val="22"/>
        </w:rPr>
        <w:t>check tier and registered harness capability;</w:t>
      </w:r>
    </w:p>
    <w:p>
      <w:pPr>
        <w:spacing w:after="80" w:line="300" w:lineRule="auto"/>
        <w:numPr>
          <w:ilvl w:val="0"/>
          <w:numId w:val="16"/>
        </w:numPr>
      </w:pPr>
      <w:r>
        <w:rPr>
          <w:rFonts w:ascii="Calibri" w:hAnsi="Calibri"/>
          <w:sz w:val="22"/>
        </w:rPr>
        <w:t>evaluate authority;</w:t>
      </w:r>
    </w:p>
    <w:p>
      <w:pPr>
        <w:spacing w:after="80" w:line="300" w:lineRule="auto"/>
        <w:numPr>
          <w:ilvl w:val="0"/>
          <w:numId w:val="16"/>
        </w:numPr>
      </w:pPr>
      <w:r>
        <w:rPr>
          <w:rFonts w:ascii="Calibri" w:hAnsi="Calibri"/>
          <w:sz w:val="22"/>
        </w:rPr>
        <w:t>request OPA decision with trusted structured input;</w:t>
      </w:r>
    </w:p>
    <w:p>
      <w:pPr>
        <w:spacing w:after="80" w:line="300" w:lineRule="auto"/>
        <w:numPr>
          <w:ilvl w:val="0"/>
          <w:numId w:val="16"/>
        </w:numPr>
      </w:pPr>
      <w:r>
        <w:rPr>
          <w:rFonts w:ascii="Calibri" w:hAnsi="Calibri"/>
          <w:sz w:val="22"/>
        </w:rPr>
        <w:t>validate exact approval digest when required;</w:t>
      </w:r>
    </w:p>
    <w:p>
      <w:pPr>
        <w:spacing w:after="80" w:line="300" w:lineRule="auto"/>
        <w:numPr>
          <w:ilvl w:val="0"/>
          <w:numId w:val="16"/>
        </w:numPr>
      </w:pPr>
      <w:r>
        <w:rPr>
          <w:rFonts w:ascii="Calibri" w:hAnsi="Calibri"/>
          <w:sz w:val="22"/>
        </w:rPr>
        <w:t>reserve budget when the operation incurs cost;</w:t>
      </w:r>
    </w:p>
    <w:p>
      <w:pPr>
        <w:spacing w:after="80" w:line="300" w:lineRule="auto"/>
        <w:numPr>
          <w:ilvl w:val="0"/>
          <w:numId w:val="16"/>
        </w:numPr>
      </w:pPr>
      <w:r>
        <w:rPr>
          <w:rFonts w:ascii="Calibri" w:hAnsi="Calibri"/>
          <w:sz w:val="22"/>
        </w:rPr>
        <w:t>obtain a short-lived credential handle from the secret broker;</w:t>
      </w:r>
    </w:p>
    <w:p>
      <w:pPr>
        <w:spacing w:after="80" w:line="300" w:lineRule="auto"/>
        <w:numPr>
          <w:ilvl w:val="0"/>
          <w:numId w:val="16"/>
        </w:numPr>
      </w:pPr>
      <w:r>
        <w:rPr>
          <w:rFonts w:ascii="Calibri" w:hAnsi="Calibri"/>
          <w:sz w:val="22"/>
        </w:rPr>
        <w:t>invoke adapter with timeout and output limits;</w:t>
      </w:r>
    </w:p>
    <w:p>
      <w:pPr>
        <w:spacing w:after="80" w:line="300" w:lineRule="auto"/>
        <w:numPr>
          <w:ilvl w:val="0"/>
          <w:numId w:val="16"/>
        </w:numPr>
      </w:pPr>
      <w:r>
        <w:rPr>
          <w:rFonts w:ascii="Calibri" w:hAnsi="Calibri"/>
          <w:sz w:val="22"/>
        </w:rPr>
        <w:t>redact output before model exposure;</w:t>
      </w:r>
    </w:p>
    <w:p>
      <w:pPr>
        <w:spacing w:after="80" w:line="300" w:lineRule="auto"/>
        <w:numPr>
          <w:ilvl w:val="0"/>
          <w:numId w:val="16"/>
        </w:numPr>
      </w:pPr>
      <w:r>
        <w:rPr>
          <w:rFonts w:ascii="Calibri" w:hAnsi="Calibri"/>
          <w:sz w:val="22"/>
        </w:rPr>
        <w:t>reconcile cost and emit audit/usage events;</w:t>
      </w:r>
    </w:p>
    <w:p>
      <w:pPr>
        <w:spacing w:after="80" w:line="300" w:lineRule="auto"/>
        <w:numPr>
          <w:ilvl w:val="0"/>
          <w:numId w:val="16"/>
        </w:numPr>
      </w:pPr>
      <w:r>
        <w:rPr>
          <w:rFonts w:ascii="Calibri" w:hAnsi="Calibri"/>
          <w:sz w:val="22"/>
        </w:rPr>
        <w:t>release credential and reservation handles.</w:t>
      </w:r>
    </w:p>
    <w:p>
      <w:pPr>
        <w:pStyle w:val="Heading2"/>
        <w:keepNext w:val="1"/>
      </w:pPr>
      <w:r>
        <w:rPr>
          <w:rFonts w:ascii="Calibri" w:hAnsi="Calibri"/>
          <w:b/>
          <w:color w:val="2E74B5"/>
          <w:sz w:val="26"/>
        </w:rPr>
        <w:t>8.3 Approval action digest</w:t>
      </w:r>
    </w:p>
    <w:p>
      <w:pPr>
        <w:spacing w:after="120" w:line="300" w:lineRule="auto"/>
      </w:pPr>
      <w:r>
        <w:rPr>
          <w:rFonts w:ascii="Calibri" w:hAnsi="Calibri"/>
          <w:sz w:val="22"/>
        </w:rPr>
        <w:t>Compute a canonical SHA-256 digest over:</w:t>
      </w:r>
    </w:p>
    <w:p>
      <w:pPr>
        <w:spacing w:after="80" w:line="300" w:lineRule="auto"/>
        <w:numPr>
          <w:ilvl w:val="0"/>
          <w:numId w:val="10"/>
        </w:numPr>
      </w:pPr>
      <w:r>
        <w:rPr>
          <w:rFonts w:ascii="Calibri" w:hAnsi="Calibri"/>
          <w:sz w:val="22"/>
        </w:rPr>
        <w:t>action type;</w:t>
      </w:r>
    </w:p>
    <w:p>
      <w:pPr>
        <w:spacing w:after="80" w:line="300" w:lineRule="auto"/>
        <w:numPr>
          <w:ilvl w:val="0"/>
          <w:numId w:val="10"/>
        </w:numPr>
      </w:pPr>
      <w:r>
        <w:rPr>
          <w:rFonts w:ascii="Calibri" w:hAnsi="Calibri"/>
          <w:sz w:val="22"/>
        </w:rPr>
        <w:t>tenant/workspace;</w:t>
      </w:r>
    </w:p>
    <w:p>
      <w:pPr>
        <w:spacing w:after="80" w:line="300" w:lineRule="auto"/>
        <w:numPr>
          <w:ilvl w:val="0"/>
          <w:numId w:val="10"/>
        </w:numPr>
      </w:pPr>
      <w:r>
        <w:rPr>
          <w:rFonts w:ascii="Calibri" w:hAnsi="Calibri"/>
          <w:sz w:val="22"/>
        </w:rPr>
        <w:t>actor and requesting invocation;</w:t>
      </w:r>
    </w:p>
    <w:p>
      <w:pPr>
        <w:spacing w:after="80" w:line="300" w:lineRule="auto"/>
        <w:numPr>
          <w:ilvl w:val="0"/>
          <w:numId w:val="10"/>
        </w:numPr>
      </w:pPr>
      <w:r>
        <w:rPr>
          <w:rFonts w:ascii="Calibri" w:hAnsi="Calibri"/>
          <w:sz w:val="22"/>
        </w:rPr>
        <w:t>sorted resource scopes;</w:t>
      </w:r>
    </w:p>
    <w:p>
      <w:pPr>
        <w:spacing w:after="80" w:line="300" w:lineRule="auto"/>
        <w:numPr>
          <w:ilvl w:val="0"/>
          <w:numId w:val="10"/>
        </w:numPr>
      </w:pPr>
      <w:r>
        <w:rPr>
          <w:rFonts w:ascii="Calibri" w:hAnsi="Calibri"/>
          <w:sz w:val="22"/>
        </w:rPr>
        <w:t>exact artifact IDs and versions;</w:t>
      </w:r>
    </w:p>
    <w:p>
      <w:pPr>
        <w:spacing w:after="80" w:line="300" w:lineRule="auto"/>
        <w:numPr>
          <w:ilvl w:val="0"/>
          <w:numId w:val="10"/>
        </w:numPr>
      </w:pPr>
      <w:r>
        <w:rPr>
          <w:rFonts w:ascii="Calibri" w:hAnsi="Calibri"/>
          <w:sz w:val="22"/>
        </w:rPr>
        <w:t>credential scopes;</w:t>
      </w:r>
    </w:p>
    <w:p>
      <w:pPr>
        <w:spacing w:after="80" w:line="300" w:lineRule="auto"/>
        <w:numPr>
          <w:ilvl w:val="0"/>
          <w:numId w:val="10"/>
        </w:numPr>
      </w:pPr>
      <w:r>
        <w:rPr>
          <w:rFonts w:ascii="Calibri" w:hAnsi="Calibri"/>
          <w:sz w:val="22"/>
        </w:rPr>
        <w:t>deployment target and traffic percentage;</w:t>
      </w:r>
    </w:p>
    <w:p>
      <w:pPr>
        <w:spacing w:after="80" w:line="300" w:lineRule="auto"/>
        <w:numPr>
          <w:ilvl w:val="0"/>
          <w:numId w:val="10"/>
        </w:numPr>
      </w:pPr>
      <w:r>
        <w:rPr>
          <w:rFonts w:ascii="Calibri" w:hAnsi="Calibri"/>
          <w:sz w:val="22"/>
        </w:rPr>
        <w:t>compute shape and offer ID;</w:t>
      </w:r>
    </w:p>
    <w:p>
      <w:pPr>
        <w:spacing w:after="80" w:line="300" w:lineRule="auto"/>
        <w:numPr>
          <w:ilvl w:val="0"/>
          <w:numId w:val="10"/>
        </w:numPr>
      </w:pPr>
      <w:r>
        <w:rPr>
          <w:rFonts w:ascii="Calibri" w:hAnsi="Calibri"/>
          <w:sz w:val="22"/>
        </w:rPr>
        <w:t>estimated maximum cost and currency;</w:t>
      </w:r>
    </w:p>
    <w:p>
      <w:pPr>
        <w:spacing w:after="80" w:line="300" w:lineRule="auto"/>
        <w:numPr>
          <w:ilvl w:val="0"/>
          <w:numId w:val="10"/>
        </w:numPr>
      </w:pPr>
      <w:r>
        <w:rPr>
          <w:rFonts w:ascii="Calibri" w:hAnsi="Calibri"/>
          <w:sz w:val="22"/>
        </w:rPr>
        <w:t>policy version;</w:t>
      </w:r>
    </w:p>
    <w:p>
      <w:pPr>
        <w:spacing w:after="80" w:line="300" w:lineRule="auto"/>
        <w:numPr>
          <w:ilvl w:val="0"/>
          <w:numId w:val="10"/>
        </w:numPr>
      </w:pPr>
      <w:r>
        <w:rPr>
          <w:rFonts w:ascii="Calibri" w:hAnsi="Calibri"/>
          <w:sz w:val="22"/>
        </w:rPr>
        <w:t>expiry.</w:t>
      </w:r>
    </w:p>
    <w:p>
      <w:pPr>
        <w:spacing w:after="120" w:line="300" w:lineRule="auto"/>
      </w:pPr>
      <w:r>
        <w:rPr>
          <w:rFonts w:ascii="Calibri" w:hAnsi="Calibri"/>
          <w:sz w:val="22"/>
        </w:rPr>
        <w:t>Any material field change produces a different digest and requires a new approval.</w:t>
      </w:r>
    </w:p>
    <w:p>
      <w:pPr>
        <w:pStyle w:val="Heading2"/>
        <w:keepNext w:val="1"/>
      </w:pPr>
      <w:r>
        <w:rPr>
          <w:rFonts w:ascii="Calibri" w:hAnsi="Calibri"/>
          <w:b/>
          <w:color w:val="2E74B5"/>
          <w:sz w:val="26"/>
        </w:rPr>
        <w:t>8.4 Budget ledger</w:t>
      </w:r>
    </w:p>
    <w:p>
      <w:pPr>
        <w:spacing w:after="120" w:line="300" w:lineRule="auto"/>
      </w:pPr>
      <w:r>
        <w:rPr>
          <w:rFonts w:ascii="Calibri" w:hAnsi="Calibri"/>
          <w:sz w:val="22"/>
        </w:rPr>
        <w:t xml:space="preserve">Use double-entry-style ledger semantics for reservations and actual usage. At minimum support </w:t>
      </w:r>
      <w:r>
        <w:rPr>
          <w:rFonts w:ascii="Consolas" w:hAnsi="Consolas"/>
          <w:color w:val="1F4D78"/>
          <w:sz w:val="20"/>
        </w:rPr>
        <w:t>reserve</w:t>
      </w:r>
      <w:r>
        <w:rPr>
          <w:rFonts w:ascii="Calibri" w:hAnsi="Calibri"/>
          <w:sz w:val="22"/>
        </w:rPr>
        <w:t xml:space="preserve">, </w:t>
      </w:r>
      <w:r>
        <w:rPr>
          <w:rFonts w:ascii="Consolas" w:hAnsi="Consolas"/>
          <w:color w:val="1F4D78"/>
          <w:sz w:val="20"/>
        </w:rPr>
        <w:t>increase</w:t>
      </w:r>
      <w:r>
        <w:rPr>
          <w:rFonts w:ascii="Calibri" w:hAnsi="Calibri"/>
          <w:sz w:val="22"/>
        </w:rPr>
        <w:t xml:space="preserve">, </w:t>
      </w:r>
      <w:r>
        <w:rPr>
          <w:rFonts w:ascii="Consolas" w:hAnsi="Consolas"/>
          <w:color w:val="1F4D78"/>
          <w:sz w:val="20"/>
        </w:rPr>
        <w:t>release</w:t>
      </w:r>
      <w:r>
        <w:rPr>
          <w:rFonts w:ascii="Calibri" w:hAnsi="Calibri"/>
          <w:sz w:val="22"/>
        </w:rPr>
        <w:t xml:space="preserve">, </w:t>
      </w:r>
      <w:r>
        <w:rPr>
          <w:rFonts w:ascii="Consolas" w:hAnsi="Consolas"/>
          <w:color w:val="1F4D78"/>
          <w:sz w:val="20"/>
        </w:rPr>
        <w:t>consume</w:t>
      </w:r>
      <w:r>
        <w:rPr>
          <w:rFonts w:ascii="Calibri" w:hAnsi="Calibri"/>
          <w:sz w:val="22"/>
        </w:rPr>
        <w:t xml:space="preserve">, </w:t>
      </w:r>
      <w:r>
        <w:rPr>
          <w:rFonts w:ascii="Consolas" w:hAnsi="Consolas"/>
          <w:color w:val="1F4D78"/>
          <w:sz w:val="20"/>
        </w:rPr>
        <w:t>reconcile</w:t>
      </w:r>
      <w:r>
        <w:rPr>
          <w:rFonts w:ascii="Calibri" w:hAnsi="Calibri"/>
          <w:sz w:val="22"/>
        </w:rPr>
        <w:t xml:space="preserve">, and </w:t>
      </w:r>
      <w:r>
        <w:rPr>
          <w:rFonts w:ascii="Consolas" w:hAnsi="Consolas"/>
          <w:color w:val="1F4D78"/>
          <w:sz w:val="20"/>
        </w:rPr>
        <w:t>expire</w:t>
      </w:r>
      <w:r>
        <w:rPr>
          <w:rFonts w:ascii="Calibri" w:hAnsi="Calibri"/>
          <w:sz w:val="22"/>
        </w:rPr>
        <w:t>. Enforce:</w:t>
      </w:r>
    </w:p>
    <w:p>
      <w:pPr>
        <w:spacing w:after="120" w:line="300" w:lineRule="auto"/>
      </w:pPr>
      <w:r>
        <w:rPr>
          <w:rFonts w:ascii="Consolas" w:hAnsi="Consolas"/>
          <w:color w:val="1F4D78"/>
          <w:sz w:val="20"/>
        </w:rPr>
        <w:t>consumed + reserved + requestedReservation &lt;= hardLimit</w:t>
      </w:r>
    </w:p>
    <w:p>
      <w:pPr>
        <w:spacing w:after="120" w:line="300" w:lineRule="auto"/>
      </w:pPr>
      <w:r>
        <w:rPr>
          <w:rFonts w:ascii="Calibri" w:hAnsi="Calibri"/>
          <w:sz w:val="22"/>
        </w:rPr>
        <w:t>Operations must be idempotent. LLM and compute calls reserve before execution, record provider observations, then reconcile. Unknown actual cost may not exceed the reservation without a fresh check or approval.</w:t>
      </w:r>
    </w:p>
    <w:p>
      <w:pPr>
        <w:pStyle w:val="Heading2"/>
        <w:keepNext w:val="1"/>
      </w:pPr>
      <w:r>
        <w:rPr>
          <w:rFonts w:ascii="Calibri" w:hAnsi="Calibri"/>
          <w:b/>
          <w:color w:val="2E74B5"/>
          <w:sz w:val="26"/>
        </w:rPr>
        <w:t>8.5 Audit requirements</w:t>
      </w:r>
    </w:p>
    <w:p>
      <w:pPr>
        <w:spacing w:after="120" w:line="300" w:lineRule="auto"/>
      </w:pPr>
      <w:r>
        <w:rPr>
          <w:rFonts w:ascii="Calibri" w:hAnsi="Calibri"/>
          <w:sz w:val="22"/>
        </w:rPr>
        <w:t>Audit records include actor, tenant, workspace, action, decision, resource, correlation, causation, policy version, approval, before/after version references, source IP or worker identity, timestamp, and redacted evidence. Audit records are append-only. Sensitive values are represented by classifications and hashes, never plaintext secrets.</w:t>
      </w:r>
    </w:p>
    <w:p>
      <w:pPr>
        <w:pStyle w:val="Heading2"/>
        <w:keepNext w:val="1"/>
      </w:pPr>
      <w:r>
        <w:rPr>
          <w:rFonts w:ascii="Calibri" w:hAnsi="Calibri"/>
          <w:b/>
          <w:color w:val="2E74B5"/>
          <w:sz w:val="26"/>
        </w:rPr>
        <w:t>8.6 Security acceptance criteria</w:t>
      </w:r>
    </w:p>
    <w:p>
      <w:pPr>
        <w:spacing w:after="80" w:line="300" w:lineRule="auto"/>
        <w:numPr>
          <w:ilvl w:val="0"/>
          <w:numId w:val="10"/>
        </w:numPr>
      </w:pPr>
      <w:r>
        <w:rPr>
          <w:rFonts w:ascii="Calibri" w:hAnsi="Calibri"/>
          <w:sz w:val="22"/>
        </w:rPr>
        <w:t>All tools deny by default.</w:t>
      </w:r>
    </w:p>
    <w:p>
      <w:pPr>
        <w:spacing w:after="80" w:line="300" w:lineRule="auto"/>
        <w:numPr>
          <w:ilvl w:val="0"/>
          <w:numId w:val="10"/>
        </w:numPr>
      </w:pPr>
      <w:r>
        <w:rPr>
          <w:rFonts w:ascii="Calibri" w:hAnsi="Calibri"/>
          <w:sz w:val="22"/>
        </w:rPr>
        <w:t>Expired, revoked, cross-tenant, wrong-tier, or scope-mismatched grants fail.</w:t>
      </w:r>
    </w:p>
    <w:p>
      <w:pPr>
        <w:spacing w:after="80" w:line="300" w:lineRule="auto"/>
        <w:numPr>
          <w:ilvl w:val="0"/>
          <w:numId w:val="10"/>
        </w:numPr>
      </w:pPr>
      <w:r>
        <w:rPr>
          <w:rFonts w:ascii="Calibri" w:hAnsi="Calibri"/>
          <w:sz w:val="22"/>
        </w:rPr>
        <w:t>Commit-time reauthorization catches approval, policy, or artifact changes during execution.</w:t>
      </w:r>
    </w:p>
    <w:p>
      <w:pPr>
        <w:spacing w:after="80" w:line="300" w:lineRule="auto"/>
        <w:numPr>
          <w:ilvl w:val="0"/>
          <w:numId w:val="10"/>
        </w:numPr>
      </w:pPr>
      <w:r>
        <w:rPr>
          <w:rFonts w:ascii="Calibri" w:hAnsi="Calibri"/>
          <w:sz w:val="22"/>
        </w:rPr>
        <w:t>Production secret plaintext never appears in test-captured prompts, logs, traces, reports, or artifacts.</w:t>
      </w:r>
    </w:p>
    <w:p>
      <w:pPr>
        <w:spacing w:after="80" w:line="300" w:lineRule="auto"/>
        <w:numPr>
          <w:ilvl w:val="0"/>
          <w:numId w:val="10"/>
        </w:numPr>
      </w:pPr>
      <w:r>
        <w:rPr>
          <w:rFonts w:ascii="Calibri" w:hAnsi="Calibri"/>
          <w:sz w:val="22"/>
        </w:rPr>
        <w:t>Budget races cannot over-reserve a hard limit.</w:t>
      </w:r>
    </w:p>
    <w:p>
      <w:pPr>
        <w:spacing w:after="80" w:line="300" w:lineRule="auto"/>
        <w:numPr>
          <w:ilvl w:val="0"/>
          <w:numId w:val="10"/>
        </w:numPr>
      </w:pPr>
      <w:r>
        <w:rPr>
          <w:rFonts w:ascii="Calibri" w:hAnsi="Calibri"/>
          <w:sz w:val="22"/>
        </w:rPr>
        <w:t>Approval digest mutation tests invalidate approvals.</w:t>
      </w:r>
    </w:p>
    <w:p>
      <w:pPr>
        <w:spacing w:after="80" w:line="300" w:lineRule="auto"/>
        <w:numPr>
          <w:ilvl w:val="0"/>
          <w:numId w:val="10"/>
        </w:numPr>
      </w:pPr>
      <w:r>
        <w:rPr>
          <w:rFonts w:ascii="Calibri" w:hAnsi="Calibri"/>
          <w:sz w:val="22"/>
        </w:rPr>
        <w:t>Audit completeness checks cover every consequential command and tool.</w:t>
      </w:r>
    </w:p>
    <w:p>
      <w:pPr>
        <w:pStyle w:val="Heading1"/>
        <w:keepNext w:val="1"/>
      </w:pPr>
      <w:r>
        <w:rPr>
          <w:rFonts w:ascii="Calibri" w:hAnsi="Calibri"/>
          <w:b/>
          <w:color w:val="2E74B5"/>
          <w:sz w:val="32"/>
        </w:rPr>
        <w:t>9. Harness Core</w:t>
      </w:r>
    </w:p>
    <w:p>
      <w:pPr>
        <w:pStyle w:val="Heading2"/>
        <w:keepNext w:val="1"/>
      </w:pPr>
      <w:r>
        <w:rPr>
          <w:rFonts w:ascii="Calibri" w:hAnsi="Calibri"/>
          <w:b/>
          <w:color w:val="2E74B5"/>
          <w:sz w:val="26"/>
        </w:rPr>
        <w:t>9.1 Core interfaces</w:t>
      </w:r>
    </w:p>
    <w:p>
      <w:pPr>
        <w:spacing w:after="120" w:line="300" w:lineRule="auto"/>
      </w:pPr>
      <w:r>
        <w:rPr>
          <w:rFonts w:ascii="Calibri" w:hAnsi="Calibri"/>
          <w:sz w:val="22"/>
        </w:rPr>
        <w:t xml:space="preserve">Implement under </w:t>
      </w:r>
      <w:r>
        <w:rPr>
          <w:rFonts w:ascii="Consolas" w:hAnsi="Consolas"/>
          <w:color w:val="1F4D78"/>
          <w:sz w:val="20"/>
        </w:rPr>
        <w:t>packages/harness-core/src/</w:t>
      </w:r>
      <w:r>
        <w:rPr>
          <w:rFonts w:ascii="Calibri" w:hAnsi="Calibri"/>
          <w:sz w:val="22"/>
        </w:rPr>
        <w:t>:</w:t>
      </w:r>
    </w:p>
    <w:p>
      <w:pPr>
        <w:spacing w:after="80" w:line="300" w:lineRule="auto"/>
        <w:numPr>
          <w:ilvl w:val="0"/>
          <w:numId w:val="10"/>
        </w:numPr>
      </w:pPr>
      <w:r>
        <w:rPr>
          <w:rFonts w:ascii="Consolas" w:hAnsi="Consolas"/>
          <w:color w:val="1F4D78"/>
          <w:sz w:val="20"/>
        </w:rPr>
        <w:t>HarnessDefinition&lt;I,O&gt;</w:t>
      </w:r>
    </w:p>
    <w:p>
      <w:pPr>
        <w:spacing w:after="80" w:line="300" w:lineRule="auto"/>
        <w:numPr>
          <w:ilvl w:val="0"/>
          <w:numId w:val="10"/>
        </w:numPr>
      </w:pPr>
      <w:r>
        <w:rPr>
          <w:rFonts w:ascii="Consolas" w:hAnsi="Consolas"/>
          <w:color w:val="1F4D78"/>
          <w:sz w:val="20"/>
        </w:rPr>
        <w:t>HarnessFactory</w:t>
      </w:r>
    </w:p>
    <w:p>
      <w:pPr>
        <w:spacing w:after="80" w:line="300" w:lineRule="auto"/>
        <w:numPr>
          <w:ilvl w:val="0"/>
          <w:numId w:val="10"/>
        </w:numPr>
      </w:pPr>
      <w:r>
        <w:rPr>
          <w:rFonts w:ascii="Consolas" w:hAnsi="Consolas"/>
          <w:color w:val="1F4D78"/>
          <w:sz w:val="20"/>
        </w:rPr>
        <w:t>RunningHarness</w:t>
      </w:r>
    </w:p>
    <w:p>
      <w:pPr>
        <w:spacing w:after="80" w:line="300" w:lineRule="auto"/>
        <w:numPr>
          <w:ilvl w:val="0"/>
          <w:numId w:val="10"/>
        </w:numPr>
      </w:pPr>
      <w:r>
        <w:rPr>
          <w:rFonts w:ascii="Consolas" w:hAnsi="Consolas"/>
          <w:color w:val="1F4D78"/>
          <w:sz w:val="20"/>
        </w:rPr>
        <w:t>ContextAssembler</w:t>
      </w:r>
    </w:p>
    <w:p>
      <w:pPr>
        <w:spacing w:after="80" w:line="300" w:lineRule="auto"/>
        <w:numPr>
          <w:ilvl w:val="0"/>
          <w:numId w:val="10"/>
        </w:numPr>
      </w:pPr>
      <w:r>
        <w:rPr>
          <w:rFonts w:ascii="Consolas" w:hAnsi="Consolas"/>
          <w:color w:val="1F4D78"/>
          <w:sz w:val="20"/>
        </w:rPr>
        <w:t>PromptPolicy</w:t>
      </w:r>
    </w:p>
    <w:p>
      <w:pPr>
        <w:spacing w:after="80" w:line="300" w:lineRule="auto"/>
        <w:numPr>
          <w:ilvl w:val="0"/>
          <w:numId w:val="10"/>
        </w:numPr>
      </w:pPr>
      <w:r>
        <w:rPr>
          <w:rFonts w:ascii="Consolas" w:hAnsi="Consolas"/>
          <w:color w:val="1F4D78"/>
          <w:sz w:val="20"/>
        </w:rPr>
        <w:t>ToolPolicy</w:t>
      </w:r>
    </w:p>
    <w:p>
      <w:pPr>
        <w:spacing w:after="80" w:line="300" w:lineRule="auto"/>
        <w:numPr>
          <w:ilvl w:val="0"/>
          <w:numId w:val="10"/>
        </w:numPr>
      </w:pPr>
      <w:r>
        <w:rPr>
          <w:rFonts w:ascii="Consolas" w:hAnsi="Consolas"/>
          <w:color w:val="1F4D78"/>
          <w:sz w:val="20"/>
        </w:rPr>
        <w:t>ModelPolicy</w:t>
      </w:r>
      <w:r>
        <w:rPr>
          <w:rFonts w:ascii="Calibri" w:hAnsi="Calibri"/>
          <w:sz w:val="22"/>
        </w:rPr>
        <w:t xml:space="preserve"> and </w:t>
      </w:r>
      <w:r>
        <w:rPr>
          <w:rFonts w:ascii="Consolas" w:hAnsi="Consolas"/>
          <w:color w:val="1F4D78"/>
          <w:sz w:val="20"/>
        </w:rPr>
        <w:t>ModelRouter</w:t>
      </w:r>
    </w:p>
    <w:p>
      <w:pPr>
        <w:spacing w:after="80" w:line="300" w:lineRule="auto"/>
        <w:numPr>
          <w:ilvl w:val="0"/>
          <w:numId w:val="10"/>
        </w:numPr>
      </w:pPr>
      <w:r>
        <w:rPr>
          <w:rFonts w:ascii="Consolas" w:hAnsi="Consolas"/>
          <w:color w:val="1F4D78"/>
          <w:sz w:val="20"/>
        </w:rPr>
        <w:t>AuthorityPolicy</w:t>
      </w:r>
    </w:p>
    <w:p>
      <w:pPr>
        <w:spacing w:after="80" w:line="300" w:lineRule="auto"/>
        <w:numPr>
          <w:ilvl w:val="0"/>
          <w:numId w:val="10"/>
        </w:numPr>
      </w:pPr>
      <w:r>
        <w:rPr>
          <w:rFonts w:ascii="Consolas" w:hAnsi="Consolas"/>
          <w:color w:val="1F4D78"/>
          <w:sz w:val="20"/>
        </w:rPr>
        <w:t>BudgetPolicy</w:t>
      </w:r>
    </w:p>
    <w:p>
      <w:pPr>
        <w:spacing w:after="80" w:line="300" w:lineRule="auto"/>
        <w:numPr>
          <w:ilvl w:val="0"/>
          <w:numId w:val="10"/>
        </w:numPr>
      </w:pPr>
      <w:r>
        <w:rPr>
          <w:rFonts w:ascii="Consolas" w:hAnsi="Consolas"/>
          <w:color w:val="1F4D78"/>
          <w:sz w:val="20"/>
        </w:rPr>
        <w:t>ApprovalPolicy</w:t>
      </w:r>
    </w:p>
    <w:p>
      <w:pPr>
        <w:spacing w:after="80" w:line="300" w:lineRule="auto"/>
        <w:numPr>
          <w:ilvl w:val="0"/>
          <w:numId w:val="10"/>
        </w:numPr>
      </w:pPr>
      <w:r>
        <w:rPr>
          <w:rFonts w:ascii="Consolas" w:hAnsi="Consolas"/>
          <w:color w:val="1F4D78"/>
          <w:sz w:val="20"/>
        </w:rPr>
        <w:t>RetryPolicy</w:t>
      </w:r>
    </w:p>
    <w:p>
      <w:pPr>
        <w:spacing w:after="80" w:line="300" w:lineRule="auto"/>
        <w:numPr>
          <w:ilvl w:val="0"/>
          <w:numId w:val="10"/>
        </w:numPr>
      </w:pPr>
      <w:r>
        <w:rPr>
          <w:rFonts w:ascii="Consolas" w:hAnsi="Consolas"/>
          <w:color w:val="1F4D78"/>
          <w:sz w:val="20"/>
        </w:rPr>
        <w:t>AcceptancePolicy&lt;O&gt;</w:t>
      </w:r>
    </w:p>
    <w:p>
      <w:pPr>
        <w:spacing w:after="80" w:line="300" w:lineRule="auto"/>
        <w:numPr>
          <w:ilvl w:val="0"/>
          <w:numId w:val="10"/>
        </w:numPr>
      </w:pPr>
      <w:r>
        <w:rPr>
          <w:rFonts w:ascii="Consolas" w:hAnsi="Consolas"/>
          <w:color w:val="1F4D78"/>
          <w:sz w:val="20"/>
        </w:rPr>
        <w:t>HarnessHooks</w:t>
      </w:r>
    </w:p>
    <w:p>
      <w:pPr>
        <w:spacing w:after="80" w:line="300" w:lineRule="auto"/>
        <w:numPr>
          <w:ilvl w:val="0"/>
          <w:numId w:val="10"/>
        </w:numPr>
      </w:pPr>
      <w:r>
        <w:rPr>
          <w:rFonts w:ascii="Consolas" w:hAnsi="Consolas"/>
          <w:color w:val="1F4D78"/>
          <w:sz w:val="20"/>
        </w:rPr>
        <w:t>ReportValidator</w:t>
      </w:r>
    </w:p>
    <w:p>
      <w:pPr>
        <w:spacing w:after="80" w:line="300" w:lineRule="auto"/>
        <w:numPr>
          <w:ilvl w:val="0"/>
          <w:numId w:val="10"/>
        </w:numPr>
      </w:pPr>
      <w:r>
        <w:rPr>
          <w:rFonts w:ascii="Consolas" w:hAnsi="Consolas"/>
          <w:color w:val="1F4D78"/>
          <w:sz w:val="20"/>
        </w:rPr>
        <w:t>InvocationService</w:t>
      </w:r>
    </w:p>
    <w:p>
      <w:pPr>
        <w:spacing w:after="120" w:line="300" w:lineRule="auto"/>
      </w:pPr>
      <w:r>
        <w:rPr>
          <w:rFonts w:ascii="Calibri" w:hAnsi="Calibri"/>
          <w:sz w:val="22"/>
        </w:rPr>
        <w:t>The factory receives only runtime ports. It must not reach into global singletons or environment variables.</w:t>
      </w:r>
    </w:p>
    <w:p>
      <w:pPr>
        <w:pStyle w:val="Heading2"/>
        <w:keepNext w:val="1"/>
      </w:pPr>
      <w:r>
        <w:rPr>
          <w:rFonts w:ascii="Calibri" w:hAnsi="Calibri"/>
          <w:b/>
          <w:color w:val="2E74B5"/>
          <w:sz w:val="26"/>
        </w:rPr>
        <w:t>9.2 Context assembly</w:t>
      </w:r>
    </w:p>
    <w:p>
      <w:pPr>
        <w:spacing w:after="120" w:line="300" w:lineRule="auto"/>
      </w:pPr>
      <w:r>
        <w:rPr>
          <w:rFonts w:ascii="Calibri" w:hAnsi="Calibri"/>
          <w:sz w:val="22"/>
        </w:rPr>
        <w:t>Context is a typed collection of blocks with trust labels:</w:t>
      </w:r>
    </w:p>
    <w:p>
      <w:pPr>
        <w:spacing w:after="80" w:line="300" w:lineRule="auto"/>
        <w:numPr>
          <w:ilvl w:val="0"/>
          <w:numId w:val="10"/>
        </w:numPr>
      </w:pPr>
      <w:r>
        <w:rPr>
          <w:rFonts w:ascii="Consolas" w:hAnsi="Consolas"/>
          <w:color w:val="1F4D78"/>
          <w:sz w:val="20"/>
        </w:rPr>
        <w:t>system_policy</w:t>
      </w:r>
      <w:r>
        <w:rPr>
          <w:rFonts w:ascii="Calibri" w:hAnsi="Calibri"/>
          <w:sz w:val="22"/>
        </w:rPr>
        <w:t>;</w:t>
      </w:r>
    </w:p>
    <w:p>
      <w:pPr>
        <w:spacing w:after="80" w:line="300" w:lineRule="auto"/>
        <w:numPr>
          <w:ilvl w:val="0"/>
          <w:numId w:val="10"/>
        </w:numPr>
      </w:pPr>
      <w:r>
        <w:rPr>
          <w:rFonts w:ascii="Consolas" w:hAnsi="Consolas"/>
          <w:color w:val="1F4D78"/>
          <w:sz w:val="20"/>
        </w:rPr>
        <w:t>trusted_workspace_policy</w:t>
      </w:r>
      <w:r>
        <w:rPr>
          <w:rFonts w:ascii="Calibri" w:hAnsi="Calibri"/>
          <w:sz w:val="22"/>
        </w:rPr>
        <w:t>;</w:t>
      </w:r>
    </w:p>
    <w:p>
      <w:pPr>
        <w:spacing w:after="80" w:line="300" w:lineRule="auto"/>
        <w:numPr>
          <w:ilvl w:val="0"/>
          <w:numId w:val="10"/>
        </w:numPr>
      </w:pPr>
      <w:r>
        <w:rPr>
          <w:rFonts w:ascii="Consolas" w:hAnsi="Consolas"/>
          <w:color w:val="1F4D78"/>
          <w:sz w:val="20"/>
        </w:rPr>
        <w:t>user_instruction</w:t>
      </w:r>
      <w:r>
        <w:rPr>
          <w:rFonts w:ascii="Calibri" w:hAnsi="Calibri"/>
          <w:sz w:val="22"/>
        </w:rPr>
        <w:t>;</w:t>
      </w:r>
    </w:p>
    <w:p>
      <w:pPr>
        <w:spacing w:after="80" w:line="300" w:lineRule="auto"/>
        <w:numPr>
          <w:ilvl w:val="0"/>
          <w:numId w:val="10"/>
        </w:numPr>
      </w:pPr>
      <w:r>
        <w:rPr>
          <w:rFonts w:ascii="Consolas" w:hAnsi="Consolas"/>
          <w:color w:val="1F4D78"/>
          <w:sz w:val="20"/>
        </w:rPr>
        <w:t>artifact_summary</w:t>
      </w:r>
      <w:r>
        <w:rPr>
          <w:rFonts w:ascii="Calibri" w:hAnsi="Calibri"/>
          <w:sz w:val="22"/>
        </w:rPr>
        <w:t xml:space="preserve"> or </w:t>
      </w:r>
      <w:r>
        <w:rPr>
          <w:rFonts w:ascii="Consolas" w:hAnsi="Consolas"/>
          <w:color w:val="1F4D78"/>
          <w:sz w:val="20"/>
        </w:rPr>
        <w:t>artifact_content</w:t>
      </w:r>
      <w:r>
        <w:rPr>
          <w:rFonts w:ascii="Calibri" w:hAnsi="Calibri"/>
          <w:sz w:val="22"/>
        </w:rPr>
        <w:t>;</w:t>
      </w:r>
    </w:p>
    <w:p>
      <w:pPr>
        <w:spacing w:after="80" w:line="300" w:lineRule="auto"/>
        <w:numPr>
          <w:ilvl w:val="0"/>
          <w:numId w:val="10"/>
        </w:numPr>
      </w:pPr>
      <w:r>
        <w:rPr>
          <w:rFonts w:ascii="Consolas" w:hAnsi="Consolas"/>
          <w:color w:val="1F4D78"/>
          <w:sz w:val="20"/>
        </w:rPr>
        <w:t>prior_report</w:t>
      </w:r>
      <w:r>
        <w:rPr>
          <w:rFonts w:ascii="Calibri" w:hAnsi="Calibri"/>
          <w:sz w:val="22"/>
        </w:rPr>
        <w:t>;</w:t>
      </w:r>
    </w:p>
    <w:p>
      <w:pPr>
        <w:spacing w:after="80" w:line="300" w:lineRule="auto"/>
        <w:numPr>
          <w:ilvl w:val="0"/>
          <w:numId w:val="10"/>
        </w:numPr>
      </w:pPr>
      <w:r>
        <w:rPr>
          <w:rFonts w:ascii="Consolas" w:hAnsi="Consolas"/>
          <w:color w:val="1F4D78"/>
          <w:sz w:val="20"/>
        </w:rPr>
        <w:t>agent_generated</w:t>
      </w:r>
      <w:r>
        <w:rPr>
          <w:rFonts w:ascii="Calibri" w:hAnsi="Calibri"/>
          <w:sz w:val="22"/>
        </w:rPr>
        <w:t>;</w:t>
      </w:r>
    </w:p>
    <w:p>
      <w:pPr>
        <w:spacing w:after="80" w:line="300" w:lineRule="auto"/>
        <w:numPr>
          <w:ilvl w:val="0"/>
          <w:numId w:val="10"/>
        </w:numPr>
      </w:pPr>
      <w:r>
        <w:rPr>
          <w:rFonts w:ascii="Consolas" w:hAnsi="Consolas"/>
          <w:color w:val="1F4D78"/>
          <w:sz w:val="20"/>
        </w:rPr>
        <w:t>untrusted_external</w:t>
      </w:r>
      <w:r>
        <w:rPr>
          <w:rFonts w:ascii="Calibri" w:hAnsi="Calibri"/>
          <w:sz w:val="22"/>
        </w:rPr>
        <w:t>.</w:t>
      </w:r>
    </w:p>
    <w:p>
      <w:pPr>
        <w:spacing w:after="120" w:line="300" w:lineRule="auto"/>
      </w:pPr>
      <w:r>
        <w:rPr>
          <w:rFonts w:ascii="Calibri" w:hAnsi="Calibri"/>
          <w:sz w:val="22"/>
        </w:rPr>
        <w:t>Each block records source, version, classification, token estimate, and redaction status. Assemblers include the minimum required content. Tier 0 receives organization/workflow summaries; Tier 1 receives relevant domain data; Tier 2 receives exact task input and mounted files.</w:t>
      </w:r>
    </w:p>
    <w:p>
      <w:pPr>
        <w:pStyle w:val="Heading2"/>
        <w:keepNext w:val="1"/>
      </w:pPr>
      <w:r>
        <w:rPr>
          <w:rFonts w:ascii="Calibri" w:hAnsi="Calibri"/>
          <w:b/>
          <w:color w:val="2E74B5"/>
          <w:sz w:val="26"/>
        </w:rPr>
        <w:t>9.3 Model router</w:t>
      </w:r>
    </w:p>
    <w:p>
      <w:pPr>
        <w:spacing w:after="120" w:line="300" w:lineRule="auto"/>
      </w:pPr>
      <w:r>
        <w:rPr>
          <w:rFonts w:ascii="Calibri" w:hAnsi="Calibri"/>
          <w:sz w:val="22"/>
        </w:rPr>
        <w:t>Route by task class, tier, data classification, context size, required structured output, latency budget, and cost envelope. Provider credentials are referenced through the model gateway, not passed to the harness. Record route decision, provider/model identifier, prompt policy version, token usage, latency, and fallback reason.</w:t>
      </w:r>
    </w:p>
    <w:p>
      <w:pPr>
        <w:pStyle w:val="Heading2"/>
        <w:keepNext w:val="1"/>
      </w:pPr>
      <w:r>
        <w:rPr>
          <w:rFonts w:ascii="Calibri" w:hAnsi="Calibri"/>
          <w:b/>
          <w:color w:val="2E74B5"/>
          <w:sz w:val="26"/>
        </w:rPr>
        <w:t>9.4 Lifecycle and checkpoints</w:t>
      </w:r>
    </w:p>
    <w:p>
      <w:pPr>
        <w:spacing w:after="120" w:line="300" w:lineRule="auto"/>
      </w:pPr>
      <w:r>
        <w:rPr>
          <w:rFonts w:ascii="Calibri" w:hAnsi="Calibri"/>
          <w:sz w:val="22"/>
        </w:rPr>
        <w:t>Implement ordered hooks for invocation start, context assembly, model/tool calls, artifact production, escalation, failure, and completion. Hook failures are classified as enforcement, observability, or optional. Enforcement hook failures fail closed. Checkpoint only serializable control state and artifact references; never checkpoint raw secrets or live SDK objects.</w:t>
      </w:r>
    </w:p>
    <w:p>
      <w:pPr>
        <w:pStyle w:val="Heading2"/>
        <w:keepNext w:val="1"/>
      </w:pPr>
      <w:r>
        <w:rPr>
          <w:rFonts w:ascii="Calibri" w:hAnsi="Calibri"/>
          <w:b/>
          <w:color w:val="2E74B5"/>
          <w:sz w:val="26"/>
        </w:rPr>
        <w:t>9.5 Report validation</w:t>
      </w:r>
    </w:p>
    <w:p>
      <w:pPr>
        <w:spacing w:after="120" w:line="300" w:lineRule="auto"/>
      </w:pPr>
      <w:r>
        <w:rPr>
          <w:rFonts w:ascii="Calibri" w:hAnsi="Calibri"/>
          <w:sz w:val="22"/>
        </w:rPr>
        <w:t>The report pipeline performs:</w:t>
      </w:r>
    </w:p>
    <w:p>
      <w:pPr>
        <w:spacing w:after="80" w:line="300" w:lineRule="auto"/>
        <w:numPr>
          <w:ilvl w:val="0"/>
          <w:numId w:val="17"/>
        </w:numPr>
      </w:pPr>
      <w:r>
        <w:rPr>
          <w:rFonts w:ascii="Calibri" w:hAnsi="Calibri"/>
          <w:sz w:val="22"/>
        </w:rPr>
        <w:t>structured-output parse;</w:t>
      </w:r>
    </w:p>
    <w:p>
      <w:pPr>
        <w:spacing w:after="80" w:line="300" w:lineRule="auto"/>
        <w:numPr>
          <w:ilvl w:val="0"/>
          <w:numId w:val="17"/>
        </w:numPr>
      </w:pPr>
      <w:r>
        <w:rPr>
          <w:rFonts w:ascii="Calibri" w:hAnsi="Calibri"/>
          <w:sz w:val="22"/>
        </w:rPr>
        <w:t>schema validation;</w:t>
      </w:r>
    </w:p>
    <w:p>
      <w:pPr>
        <w:spacing w:after="80" w:line="300" w:lineRule="auto"/>
        <w:numPr>
          <w:ilvl w:val="0"/>
          <w:numId w:val="17"/>
        </w:numPr>
      </w:pPr>
      <w:r>
        <w:rPr>
          <w:rFonts w:ascii="Calibri" w:hAnsi="Calibri"/>
          <w:sz w:val="22"/>
        </w:rPr>
        <w:t>invocation, agent type, tier, and time consistency;</w:t>
      </w:r>
    </w:p>
    <w:p>
      <w:pPr>
        <w:spacing w:after="80" w:line="300" w:lineRule="auto"/>
        <w:numPr>
          <w:ilvl w:val="0"/>
          <w:numId w:val="17"/>
        </w:numPr>
      </w:pPr>
      <w:r>
        <w:rPr>
          <w:rFonts w:ascii="Calibri" w:hAnsi="Calibri"/>
          <w:sz w:val="22"/>
        </w:rPr>
        <w:t>artifact existence, tenant, hash, and lineage checks;</w:t>
      </w:r>
    </w:p>
    <w:p>
      <w:pPr>
        <w:spacing w:after="80" w:line="300" w:lineRule="auto"/>
        <w:numPr>
          <w:ilvl w:val="0"/>
          <w:numId w:val="17"/>
        </w:numPr>
      </w:pPr>
      <w:r>
        <w:rPr>
          <w:rFonts w:ascii="Calibri" w:hAnsi="Calibri"/>
          <w:sz w:val="22"/>
        </w:rPr>
        <w:t>child invocation relationship checks;</w:t>
      </w:r>
    </w:p>
    <w:p>
      <w:pPr>
        <w:spacing w:after="80" w:line="300" w:lineRule="auto"/>
        <w:numPr>
          <w:ilvl w:val="0"/>
          <w:numId w:val="17"/>
        </w:numPr>
      </w:pPr>
      <w:r>
        <w:rPr>
          <w:rFonts w:ascii="Calibri" w:hAnsi="Calibri"/>
          <w:sz w:val="22"/>
        </w:rPr>
        <w:t>decision authority checks;</w:t>
      </w:r>
    </w:p>
    <w:p>
      <w:pPr>
        <w:spacing w:after="80" w:line="300" w:lineRule="auto"/>
        <w:numPr>
          <w:ilvl w:val="0"/>
          <w:numId w:val="17"/>
        </w:numPr>
      </w:pPr>
      <w:r>
        <w:rPr>
          <w:rFonts w:ascii="Calibri" w:hAnsi="Calibri"/>
          <w:sz w:val="22"/>
        </w:rPr>
        <w:t>metric and cost reconciliation;</w:t>
      </w:r>
    </w:p>
    <w:p>
      <w:pPr>
        <w:spacing w:after="80" w:line="300" w:lineRule="auto"/>
        <w:numPr>
          <w:ilvl w:val="0"/>
          <w:numId w:val="17"/>
        </w:numPr>
      </w:pPr>
      <w:r>
        <w:rPr>
          <w:rFonts w:ascii="Calibri" w:hAnsi="Calibri"/>
          <w:sz w:val="22"/>
        </w:rPr>
        <w:t>state assertion verification;</w:t>
      </w:r>
    </w:p>
    <w:p>
      <w:pPr>
        <w:spacing w:after="80" w:line="300" w:lineRule="auto"/>
        <w:numPr>
          <w:ilvl w:val="0"/>
          <w:numId w:val="17"/>
        </w:numPr>
      </w:pPr>
      <w:r>
        <w:rPr>
          <w:rFonts w:ascii="Calibri" w:hAnsi="Calibri"/>
          <w:sz w:val="22"/>
        </w:rPr>
        <w:t>acceptance-policy evaluation;</w:t>
      </w:r>
    </w:p>
    <w:p>
      <w:pPr>
        <w:spacing w:after="80" w:line="300" w:lineRule="auto"/>
        <w:numPr>
          <w:ilvl w:val="0"/>
          <w:numId w:val="17"/>
        </w:numPr>
      </w:pPr>
      <w:r>
        <w:rPr>
          <w:rFonts w:ascii="Calibri" w:hAnsi="Calibri"/>
          <w:sz w:val="22"/>
        </w:rPr>
        <w:t>output repair only when repair does not alter domain meaning;</w:t>
      </w:r>
    </w:p>
    <w:p>
      <w:pPr>
        <w:spacing w:after="80" w:line="300" w:lineRule="auto"/>
        <w:numPr>
          <w:ilvl w:val="0"/>
          <w:numId w:val="17"/>
        </w:numPr>
      </w:pPr>
      <w:r>
        <w:rPr>
          <w:rFonts w:ascii="Calibri" w:hAnsi="Calibri"/>
          <w:sz w:val="22"/>
        </w:rPr>
        <w:t>failure when any mandatory check cannot be proven.</w:t>
      </w:r>
    </w:p>
    <w:p>
      <w:pPr>
        <w:spacing w:after="120" w:line="300" w:lineRule="auto"/>
      </w:pPr>
      <w:r>
        <w:rPr>
          <w:rFonts w:ascii="Calibri" w:hAnsi="Calibri"/>
          <w:sz w:val="22"/>
        </w:rPr>
        <w:t>An agent's prose is never a committed report.</w:t>
      </w:r>
    </w:p>
    <w:p>
      <w:pPr>
        <w:pStyle w:val="Heading2"/>
        <w:keepNext w:val="1"/>
      </w:pPr>
      <w:r>
        <w:rPr>
          <w:rFonts w:ascii="Calibri" w:hAnsi="Calibri"/>
          <w:b/>
          <w:color w:val="2E74B5"/>
          <w:sz w:val="26"/>
        </w:rPr>
        <w:t>9.6 Cline adapter</w:t>
      </w:r>
    </w:p>
    <w:p>
      <w:pPr>
        <w:spacing w:after="120" w:line="300" w:lineRule="auto"/>
      </w:pPr>
      <w:r>
        <w:rPr>
          <w:rFonts w:ascii="Calibri" w:hAnsi="Calibri"/>
          <w:sz w:val="22"/>
        </w:rPr>
        <w:t xml:space="preserve">Only </w:t>
      </w:r>
      <w:r>
        <w:rPr>
          <w:rFonts w:ascii="Consolas" w:hAnsi="Consolas"/>
          <w:color w:val="1F4D78"/>
          <w:sz w:val="20"/>
        </w:rPr>
        <w:t>packages/cline-adapter</w:t>
      </w:r>
      <w:r>
        <w:rPr>
          <w:rFonts w:ascii="Calibri" w:hAnsi="Calibri"/>
          <w:sz w:val="22"/>
        </w:rPr>
        <w:t xml:space="preserve"> imports the Cline SDK. Provide an internal interface with </w:t>
      </w:r>
      <w:r>
        <w:rPr>
          <w:rFonts w:ascii="Consolas" w:hAnsi="Consolas"/>
          <w:color w:val="1F4D78"/>
          <w:sz w:val="20"/>
        </w:rPr>
        <w:t>start</w:t>
      </w:r>
      <w:r>
        <w:rPr>
          <w:rFonts w:ascii="Calibri" w:hAnsi="Calibri"/>
          <w:sz w:val="22"/>
        </w:rPr>
        <w:t xml:space="preserve">, </w:t>
      </w:r>
      <w:r>
        <w:rPr>
          <w:rFonts w:ascii="Consolas" w:hAnsi="Consolas"/>
          <w:color w:val="1F4D78"/>
          <w:sz w:val="20"/>
        </w:rPr>
        <w:t>send</w:t>
      </w:r>
      <w:r>
        <w:rPr>
          <w:rFonts w:ascii="Calibri" w:hAnsi="Calibri"/>
          <w:sz w:val="22"/>
        </w:rPr>
        <w:t xml:space="preserve">, </w:t>
      </w:r>
      <w:r>
        <w:rPr>
          <w:rFonts w:ascii="Consolas" w:hAnsi="Consolas"/>
          <w:color w:val="1F4D78"/>
          <w:sz w:val="20"/>
        </w:rPr>
        <w:t>streamEvents</w:t>
      </w:r>
      <w:r>
        <w:rPr>
          <w:rFonts w:ascii="Calibri" w:hAnsi="Calibri"/>
          <w:sz w:val="22"/>
        </w:rPr>
        <w:t xml:space="preserve">, </w:t>
      </w:r>
      <w:r>
        <w:rPr>
          <w:rFonts w:ascii="Consolas" w:hAnsi="Consolas"/>
          <w:color w:val="1F4D78"/>
          <w:sz w:val="20"/>
        </w:rPr>
        <w:t>cancel</w:t>
      </w:r>
      <w:r>
        <w:rPr>
          <w:rFonts w:ascii="Calibri" w:hAnsi="Calibri"/>
          <w:sz w:val="22"/>
        </w:rPr>
        <w:t xml:space="preserve">, and </w:t>
      </w:r>
      <w:r>
        <w:rPr>
          <w:rFonts w:ascii="Consolas" w:hAnsi="Consolas"/>
          <w:color w:val="1F4D78"/>
          <w:sz w:val="20"/>
        </w:rPr>
        <w:t>dispose</w:t>
      </w:r>
      <w:r>
        <w:rPr>
          <w:rFonts w:ascii="Calibri" w:hAnsi="Calibri"/>
          <w:sz w:val="22"/>
        </w:rPr>
        <w:t>. Translate SDK events into internal model, tool, message, and lifecycle events. Pin the SDK version and add contract fixtures for event translation, cancellation, structured output, tool registration, token usage, and error mapping.</w:t>
      </w:r>
    </w:p>
    <w:p>
      <w:pPr>
        <w:spacing w:after="120" w:line="300" w:lineRule="auto"/>
      </w:pPr>
      <w:r>
        <w:rPr>
          <w:rFonts w:ascii="Calibri" w:hAnsi="Calibri"/>
          <w:sz w:val="22"/>
        </w:rPr>
        <w:t>The adapter must not grant tools directly. Cline tool callbacks call the platform tool broker. SDK API changes are handled by adapter compatibility tests and do not change domain packages.</w:t>
      </w:r>
    </w:p>
    <w:p>
      <w:pPr>
        <w:pStyle w:val="Heading2"/>
        <w:keepNext w:val="1"/>
      </w:pPr>
      <w:r>
        <w:rPr>
          <w:rFonts w:ascii="Calibri" w:hAnsi="Calibri"/>
          <w:b/>
          <w:color w:val="2E74B5"/>
          <w:sz w:val="26"/>
        </w:rPr>
        <w:t>9.7 Invocation hierarchy enforcement</w:t>
      </w:r>
    </w:p>
    <w:p>
      <w:pPr>
        <w:spacing w:after="120" w:line="300" w:lineRule="auto"/>
      </w:pPr>
      <w:r>
        <w:rPr>
          <w:rFonts w:ascii="Calibri" w:hAnsi="Calibri"/>
          <w:sz w:val="22"/>
        </w:rPr>
        <w:t>The invocation service validates registry tier, parent tier, permitted child type, authority, budget, and plan membership before creation. Database constraints or triggers prevent invalid relationships. Tests must explicitly deny Tier 0→Tier 2, Tier 1→Tier 1, Tier 2→any, and unregistered agent types.</w:t>
      </w:r>
    </w:p>
    <w:p>
      <w:pPr>
        <w:pStyle w:val="Heading1"/>
        <w:keepNext w:val="1"/>
      </w:pPr>
      <w:r>
        <w:rPr>
          <w:rFonts w:ascii="Calibri" w:hAnsi="Calibri"/>
          <w:b/>
          <w:color w:val="2E74B5"/>
          <w:sz w:val="32"/>
        </w:rPr>
        <w:t>10. Tier 0 Orchestrator</w:t>
      </w:r>
    </w:p>
    <w:p>
      <w:pPr>
        <w:pStyle w:val="Heading2"/>
        <w:keepNext w:val="1"/>
      </w:pPr>
      <w:r>
        <w:rPr>
          <w:rFonts w:ascii="Calibri" w:hAnsi="Calibri"/>
          <w:b/>
          <w:color w:val="2E74B5"/>
          <w:sz w:val="26"/>
        </w:rPr>
        <w:t>10.1 Responsibility</w:t>
      </w:r>
    </w:p>
    <w:p>
      <w:pPr>
        <w:spacing w:after="120" w:line="300" w:lineRule="auto"/>
      </w:pPr>
      <w:r>
        <w:rPr>
          <w:rFonts w:ascii="Calibri" w:hAnsi="Calibri"/>
          <w:sz w:val="22"/>
        </w:rPr>
        <w:t>Tier 0 owns intent interpretation, plan construction, specialist routing, dependency management, budget/deadline coordination, approvals, conflict resolution, aggregation, and user status. It receives no shell, filesystem write, compute allocation, credential, connector publication, or model promotion tools.</w:t>
      </w:r>
    </w:p>
    <w:p>
      <w:pPr>
        <w:pStyle w:val="Heading2"/>
        <w:keepNext w:val="1"/>
      </w:pPr>
      <w:r>
        <w:rPr>
          <w:rFonts w:ascii="Calibri" w:hAnsi="Calibri"/>
          <w:b/>
          <w:color w:val="2E74B5"/>
          <w:sz w:val="26"/>
        </w:rPr>
        <w:t>10.2 Implementation modules</w:t>
      </w:r>
    </w:p>
    <w:tbl>
      <w:tblPr>
        <w:tblW w:type="dxa" w:w="9360"/>
        <w:jc w:val="left"/>
        <w:tblLayout w:type="fixed"/>
        <w:tblLook w:firstColumn="1" w:firstRow="1" w:lastColumn="0" w:lastRow="0" w:noHBand="0" w:noVBand="1" w:val="04A0"/>
        <w:tblInd w:w="120" w:type="dxa"/>
        <w:tblBorders>
          <w:top w:val="single" w:sz="4" w:color="D3DAE2"/>
          <w:left w:val="single" w:sz="4" w:color="D3DAE2"/>
          <w:bottom w:val="single" w:sz="4" w:color="D3DAE2"/>
          <w:right w:val="single" w:sz="4" w:color="D3DAE2"/>
          <w:insideH w:val="single" w:sz="4" w:color="D3DAE2"/>
          <w:insideV w:val="single" w:sz="4" w:color="D3DAE2"/>
        </w:tblBorders>
      </w:tblPr>
      <w:tblGrid>
        <w:gridCol w:w="9360"/>
      </w:tblGrid>
      <w:tr>
        <w:tc>
          <w:tcPr>
            <w:tcW w:type="dxa" w:w="9360"/>
            <w:tcMar>
              <w:top w:w="80" w:type="dxa"/>
              <w:start w:w="120" w:type="dxa"/>
              <w:bottom w:w="80" w:type="dxa"/>
              <w:end w:w="120" w:type="dxa"/>
            </w:tcMar>
            <w:shd w:fill="F7F8FA"/>
          </w:tcPr>
          <w:p>
            <w:pPr>
              <w:spacing w:after="0" w:line="240" w:lineRule="auto"/>
            </w:pPr>
            <w:r>
              <w:rPr>
                <w:rFonts w:ascii="Consolas" w:hAnsi="Consolas"/>
                <w:color w:val="263442"/>
                <w:sz w:val="17"/>
              </w:rPr>
              <w:t>packages/orchestrator/src/</w:t>
            </w:r>
            <w:r>
              <w:br/>
            </w:r>
            <w:r>
              <w:rPr>
                <w:rFonts w:ascii="Consolas" w:hAnsi="Consolas"/>
                <w:color w:val="263442"/>
                <w:sz w:val="17"/>
              </w:rPr>
              <w:t xml:space="preserve">  harness.ts</w:t>
            </w:r>
            <w:r>
              <w:br/>
            </w:r>
            <w:r>
              <w:rPr>
                <w:rFonts w:ascii="Consolas" w:hAnsi="Consolas"/>
                <w:color w:val="263442"/>
                <w:sz w:val="17"/>
              </w:rPr>
              <w:t xml:space="preserve">  prompt-policy.ts</w:t>
            </w:r>
            <w:r>
              <w:br/>
            </w:r>
            <w:r>
              <w:rPr>
                <w:rFonts w:ascii="Consolas" w:hAnsi="Consolas"/>
                <w:color w:val="263442"/>
                <w:sz w:val="17"/>
              </w:rPr>
              <w:t xml:space="preserve">  context-policy.ts</w:t>
            </w:r>
            <w:r>
              <w:br/>
            </w:r>
            <w:r>
              <w:rPr>
                <w:rFonts w:ascii="Consolas" w:hAnsi="Consolas"/>
                <w:color w:val="263442"/>
                <w:sz w:val="17"/>
              </w:rPr>
              <w:t xml:space="preserve">  planner.ts</w:t>
            </w:r>
            <w:r>
              <w:br/>
            </w:r>
            <w:r>
              <w:rPr>
                <w:rFonts w:ascii="Consolas" w:hAnsi="Consolas"/>
                <w:color w:val="263442"/>
                <w:sz w:val="17"/>
              </w:rPr>
              <w:t xml:space="preserve">  plan-schema.ts</w:t>
            </w:r>
            <w:r>
              <w:br/>
            </w:r>
            <w:r>
              <w:rPr>
                <w:rFonts w:ascii="Consolas" w:hAnsi="Consolas"/>
                <w:color w:val="263442"/>
                <w:sz w:val="17"/>
              </w:rPr>
              <w:t xml:space="preserve">  plan-validator.ts</w:t>
            </w:r>
            <w:r>
              <w:br/>
            </w:r>
            <w:r>
              <w:rPr>
                <w:rFonts w:ascii="Consolas" w:hAnsi="Consolas"/>
                <w:color w:val="263442"/>
                <w:sz w:val="17"/>
              </w:rPr>
              <w:t xml:space="preserve">  dependency-evaluator.ts</w:t>
            </w:r>
            <w:r>
              <w:br/>
            </w:r>
            <w:r>
              <w:rPr>
                <w:rFonts w:ascii="Consolas" w:hAnsi="Consolas"/>
                <w:color w:val="263442"/>
                <w:sz w:val="17"/>
              </w:rPr>
              <w:t xml:space="preserve">  cost-estimator.ts</w:t>
            </w:r>
            <w:r>
              <w:br/>
            </w:r>
            <w:r>
              <w:rPr>
                <w:rFonts w:ascii="Consolas" w:hAnsi="Consolas"/>
                <w:color w:val="263442"/>
                <w:sz w:val="17"/>
              </w:rPr>
              <w:t xml:space="preserve">  approval-planner.ts</w:t>
            </w:r>
            <w:r>
              <w:br/>
            </w:r>
            <w:r>
              <w:rPr>
                <w:rFonts w:ascii="Consolas" w:hAnsi="Consolas"/>
                <w:color w:val="263442"/>
                <w:sz w:val="17"/>
              </w:rPr>
              <w:t xml:space="preserve">  scheduler.ts</w:t>
            </w:r>
            <w:r>
              <w:br/>
            </w:r>
            <w:r>
              <w:rPr>
                <w:rFonts w:ascii="Consolas" w:hAnsi="Consolas"/>
                <w:color w:val="263442"/>
                <w:sz w:val="17"/>
              </w:rPr>
              <w:t xml:space="preserve">  aggregator.ts</w:t>
            </w:r>
            <w:r>
              <w:br/>
            </w:r>
            <w:r>
              <w:rPr>
                <w:rFonts w:ascii="Consolas" w:hAnsi="Consolas"/>
                <w:color w:val="263442"/>
                <w:sz w:val="17"/>
              </w:rPr>
              <w:t xml:space="preserve">  conflict-resolver.ts</w:t>
            </w:r>
            <w:r>
              <w:br/>
            </w:r>
            <w:r>
              <w:rPr>
                <w:rFonts w:ascii="Consolas" w:hAnsi="Consolas"/>
                <w:color w:val="263442"/>
                <w:sz w:val="17"/>
              </w:rPr>
              <w:t xml:space="preserve">  completion-evaluator.ts</w:t>
            </w:r>
            <w:r>
              <w:br/>
            </w:r>
            <w:r>
              <w:rPr>
                <w:rFonts w:ascii="Consolas" w:hAnsi="Consolas"/>
                <w:color w:val="263442"/>
                <w:sz w:val="17"/>
              </w:rPr>
              <w:t xml:space="preserve">  user-status.ts</w:t>
            </w:r>
          </w:p>
        </w:tc>
      </w:tr>
    </w:tbl>
    <w:p>
      <w:pPr>
        <w:spacing w:after="0"/>
      </w:pPr>
    </w:p>
    <w:p>
      <w:pPr>
        <w:pStyle w:val="Heading2"/>
        <w:keepNext w:val="1"/>
      </w:pPr>
      <w:r>
        <w:rPr>
          <w:rFonts w:ascii="Calibri" w:hAnsi="Calibri"/>
          <w:b/>
          <w:color w:val="2E74B5"/>
          <w:sz w:val="26"/>
        </w:rPr>
        <w:t>10.3 Plan validator</w:t>
      </w:r>
    </w:p>
    <w:p>
      <w:pPr>
        <w:spacing w:after="120" w:line="300" w:lineRule="auto"/>
      </w:pPr>
      <w:r>
        <w:rPr>
          <w:rFonts w:ascii="Calibri" w:hAnsi="Calibri"/>
          <w:sz w:val="22"/>
        </w:rPr>
        <w:t>Reject plans when:</w:t>
      </w:r>
    </w:p>
    <w:p>
      <w:pPr>
        <w:spacing w:after="80" w:line="300" w:lineRule="auto"/>
        <w:numPr>
          <w:ilvl w:val="0"/>
          <w:numId w:val="10"/>
        </w:numPr>
      </w:pPr>
      <w:r>
        <w:rPr>
          <w:rFonts w:ascii="Calibri" w:hAnsi="Calibri"/>
          <w:sz w:val="22"/>
        </w:rPr>
        <w:t>a specialist is missing, disabled, deprecated without opt-in, or incompatible;</w:t>
      </w:r>
    </w:p>
    <w:p>
      <w:pPr>
        <w:spacing w:after="80" w:line="300" w:lineRule="auto"/>
        <w:numPr>
          <w:ilvl w:val="0"/>
          <w:numId w:val="10"/>
        </w:numPr>
      </w:pPr>
      <w:r>
        <w:rPr>
          <w:rFonts w:ascii="Calibri" w:hAnsi="Calibri"/>
          <w:sz w:val="22"/>
        </w:rPr>
        <w:t>a step asks a specialist for an unowned decision;</w:t>
      </w:r>
    </w:p>
    <w:p>
      <w:pPr>
        <w:spacing w:after="80" w:line="300" w:lineRule="auto"/>
        <w:numPr>
          <w:ilvl w:val="0"/>
          <w:numId w:val="10"/>
        </w:numPr>
      </w:pPr>
      <w:r>
        <w:rPr>
          <w:rFonts w:ascii="Calibri" w:hAnsi="Calibri"/>
          <w:sz w:val="22"/>
        </w:rPr>
        <w:t>dependencies contain a cycle or unsatisfiable condition;</w:t>
      </w:r>
    </w:p>
    <w:p>
      <w:pPr>
        <w:spacing w:after="80" w:line="300" w:lineRule="auto"/>
        <w:numPr>
          <w:ilvl w:val="0"/>
          <w:numId w:val="10"/>
        </w:numPr>
      </w:pPr>
      <w:r>
        <w:rPr>
          <w:rFonts w:ascii="Calibri" w:hAnsi="Calibri"/>
          <w:sz w:val="22"/>
        </w:rPr>
        <w:t>expected artifact types are not producible;</w:t>
      </w:r>
    </w:p>
    <w:p>
      <w:pPr>
        <w:spacing w:after="80" w:line="300" w:lineRule="auto"/>
        <w:numPr>
          <w:ilvl w:val="0"/>
          <w:numId w:val="10"/>
        </w:numPr>
      </w:pPr>
      <w:r>
        <w:rPr>
          <w:rFonts w:ascii="Calibri" w:hAnsi="Calibri"/>
          <w:sz w:val="22"/>
        </w:rPr>
        <w:t>authority or budget exceeds the workflow envelope;</w:t>
      </w:r>
    </w:p>
    <w:p>
      <w:pPr>
        <w:spacing w:after="80" w:line="300" w:lineRule="auto"/>
        <w:numPr>
          <w:ilvl w:val="0"/>
          <w:numId w:val="10"/>
        </w:numPr>
      </w:pPr>
      <w:r>
        <w:rPr>
          <w:rFonts w:ascii="Calibri" w:hAnsi="Calibri"/>
          <w:sz w:val="22"/>
        </w:rPr>
        <w:t>Tier 0 attempts to target Tier 2;</w:t>
      </w:r>
    </w:p>
    <w:p>
      <w:pPr>
        <w:spacing w:after="80" w:line="300" w:lineRule="auto"/>
        <w:numPr>
          <w:ilvl w:val="0"/>
          <w:numId w:val="10"/>
        </w:numPr>
      </w:pPr>
      <w:r>
        <w:rPr>
          <w:rFonts w:ascii="Calibri" w:hAnsi="Calibri"/>
          <w:sz w:val="22"/>
        </w:rPr>
        <w:t>required Governance, FinOps, Cluster, Eval, or Deployment boundary is bypassed;</w:t>
      </w:r>
    </w:p>
    <w:p>
      <w:pPr>
        <w:spacing w:after="80" w:line="300" w:lineRule="auto"/>
        <w:numPr>
          <w:ilvl w:val="0"/>
          <w:numId w:val="10"/>
        </w:numPr>
      </w:pPr>
      <w:r>
        <w:rPr>
          <w:rFonts w:ascii="Calibri" w:hAnsi="Calibri"/>
          <w:sz w:val="22"/>
        </w:rPr>
        <w:t>completion criteria are unmeasurable;</w:t>
      </w:r>
    </w:p>
    <w:p>
      <w:pPr>
        <w:spacing w:after="80" w:line="300" w:lineRule="auto"/>
        <w:numPr>
          <w:ilvl w:val="0"/>
          <w:numId w:val="10"/>
        </w:numPr>
      </w:pPr>
      <w:r>
        <w:rPr>
          <w:rFonts w:ascii="Calibri" w:hAnsi="Calibri"/>
          <w:sz w:val="22"/>
        </w:rPr>
        <w:t>an approval requirement lacks an exact action template.</w:t>
      </w:r>
    </w:p>
    <w:p>
      <w:pPr>
        <w:pStyle w:val="Heading2"/>
        <w:keepNext w:val="1"/>
      </w:pPr>
      <w:r>
        <w:rPr>
          <w:rFonts w:ascii="Calibri" w:hAnsi="Calibri"/>
          <w:b/>
          <w:color w:val="2E74B5"/>
          <w:sz w:val="26"/>
        </w:rPr>
        <w:t>10.4 Aggregation rules</w:t>
      </w:r>
    </w:p>
    <w:p>
      <w:pPr>
        <w:spacing w:after="120" w:line="300" w:lineRule="auto"/>
      </w:pPr>
      <w:r>
        <w:rPr>
          <w:rFonts w:ascii="Calibri" w:hAnsi="Calibri"/>
          <w:sz w:val="22"/>
        </w:rPr>
        <w:t>Tier 0 verifies expected artifacts, report validity, dependency satisfaction, approval freshness, budget, and conflicting state assertions. It may schedule, replan, block, request approval, cancel, or complete. It must not reinterpret a Tier 1 decision as an implementation detail or silently merge conflicting artifacts.</w:t>
      </w:r>
    </w:p>
    <w:p>
      <w:pPr>
        <w:pStyle w:val="Heading2"/>
        <w:keepNext w:val="1"/>
      </w:pPr>
      <w:r>
        <w:rPr>
          <w:rFonts w:ascii="Calibri" w:hAnsi="Calibri"/>
          <w:b/>
          <w:color w:val="2E74B5"/>
          <w:sz w:val="26"/>
        </w:rPr>
        <w:t>10.5 Orchestrator evaluation fixtures</w:t>
      </w:r>
    </w:p>
    <w:p>
      <w:pPr>
        <w:spacing w:after="120" w:line="300" w:lineRule="auto"/>
      </w:pPr>
      <w:r>
        <w:rPr>
          <w:rFonts w:ascii="Calibri" w:hAnsi="Calibri"/>
          <w:sz w:val="22"/>
        </w:rPr>
        <w:t>Include at least:</w:t>
      </w:r>
    </w:p>
    <w:p>
      <w:pPr>
        <w:spacing w:after="80" w:line="300" w:lineRule="auto"/>
        <w:numPr>
          <w:ilvl w:val="0"/>
          <w:numId w:val="10"/>
        </w:numPr>
      </w:pPr>
      <w:r>
        <w:rPr>
          <w:rFonts w:ascii="Calibri" w:hAnsi="Calibri"/>
          <w:sz w:val="22"/>
        </w:rPr>
        <w:t>simple sequential data validation;</w:t>
      </w:r>
    </w:p>
    <w:p>
      <w:pPr>
        <w:spacing w:after="80" w:line="300" w:lineRule="auto"/>
        <w:numPr>
          <w:ilvl w:val="0"/>
          <w:numId w:val="10"/>
        </w:numPr>
      </w:pPr>
      <w:r>
        <w:rPr>
          <w:rFonts w:ascii="Calibri" w:hAnsi="Calibri"/>
          <w:sz w:val="22"/>
        </w:rPr>
        <w:t>parallel independent specialist work;</w:t>
      </w:r>
    </w:p>
    <w:p>
      <w:pPr>
        <w:spacing w:after="80" w:line="300" w:lineRule="auto"/>
        <w:numPr>
          <w:ilvl w:val="0"/>
          <w:numId w:val="10"/>
        </w:numPr>
      </w:pPr>
      <w:r>
        <w:rPr>
          <w:rFonts w:ascii="Calibri" w:hAnsi="Calibri"/>
          <w:sz w:val="22"/>
        </w:rPr>
        <w:t>fine-tuning under a hard budget;</w:t>
      </w:r>
    </w:p>
    <w:p>
      <w:pPr>
        <w:spacing w:after="80" w:line="300" w:lineRule="auto"/>
        <w:numPr>
          <w:ilvl w:val="0"/>
          <w:numId w:val="10"/>
        </w:numPr>
      </w:pPr>
      <w:r>
        <w:rPr>
          <w:rFonts w:ascii="Calibri" w:hAnsi="Calibri"/>
          <w:sz w:val="22"/>
        </w:rPr>
        <w:t>missing specialist;</w:t>
      </w:r>
    </w:p>
    <w:p>
      <w:pPr>
        <w:spacing w:after="80" w:line="300" w:lineRule="auto"/>
        <w:numPr>
          <w:ilvl w:val="0"/>
          <w:numId w:val="10"/>
        </w:numPr>
      </w:pPr>
      <w:r>
        <w:rPr>
          <w:rFonts w:ascii="Calibri" w:hAnsi="Calibri"/>
          <w:sz w:val="22"/>
        </w:rPr>
        <w:t>cyclic plan;</w:t>
      </w:r>
    </w:p>
    <w:p>
      <w:pPr>
        <w:spacing w:after="80" w:line="300" w:lineRule="auto"/>
        <w:numPr>
          <w:ilvl w:val="0"/>
          <w:numId w:val="10"/>
        </w:numPr>
      </w:pPr>
      <w:r>
        <w:rPr>
          <w:rFonts w:ascii="Calibri" w:hAnsi="Calibri"/>
          <w:sz w:val="22"/>
        </w:rPr>
        <w:t>stale human-edited artifact;</w:t>
      </w:r>
    </w:p>
    <w:p>
      <w:pPr>
        <w:spacing w:after="80" w:line="300" w:lineRule="auto"/>
        <w:numPr>
          <w:ilvl w:val="0"/>
          <w:numId w:val="10"/>
        </w:numPr>
      </w:pPr>
      <w:r>
        <w:rPr>
          <w:rFonts w:ascii="Calibri" w:hAnsi="Calibri"/>
          <w:sz w:val="22"/>
        </w:rPr>
        <w:t>rejected approval;</w:t>
      </w:r>
    </w:p>
    <w:p>
      <w:pPr>
        <w:spacing w:after="80" w:line="300" w:lineRule="auto"/>
        <w:numPr>
          <w:ilvl w:val="0"/>
          <w:numId w:val="10"/>
        </w:numPr>
      </w:pPr>
      <w:r>
        <w:rPr>
          <w:rFonts w:ascii="Calibri" w:hAnsi="Calibri"/>
          <w:sz w:val="22"/>
        </w:rPr>
        <w:t>incompatible Data and Governance decisions;</w:t>
      </w:r>
    </w:p>
    <w:p>
      <w:pPr>
        <w:spacing w:after="80" w:line="300" w:lineRule="auto"/>
        <w:numPr>
          <w:ilvl w:val="0"/>
          <w:numId w:val="10"/>
        </w:numPr>
      </w:pPr>
      <w:r>
        <w:rPr>
          <w:rFonts w:ascii="Calibri" w:hAnsi="Calibri"/>
          <w:sz w:val="22"/>
        </w:rPr>
        <w:t>cost increase requiring new approval;</w:t>
      </w:r>
    </w:p>
    <w:p>
      <w:pPr>
        <w:spacing w:after="80" w:line="300" w:lineRule="auto"/>
        <w:numPr>
          <w:ilvl w:val="0"/>
          <w:numId w:val="10"/>
        </w:numPr>
      </w:pPr>
      <w:r>
        <w:rPr>
          <w:rFonts w:ascii="Calibri" w:hAnsi="Calibri"/>
          <w:sz w:val="22"/>
        </w:rPr>
        <w:t>cancellation during child execution;</w:t>
      </w:r>
    </w:p>
    <w:p>
      <w:pPr>
        <w:spacing w:after="80" w:line="300" w:lineRule="auto"/>
        <w:numPr>
          <w:ilvl w:val="0"/>
          <w:numId w:val="10"/>
        </w:numPr>
      </w:pPr>
      <w:r>
        <w:rPr>
          <w:rFonts w:ascii="Calibri" w:hAnsi="Calibri"/>
          <w:sz w:val="22"/>
        </w:rPr>
        <w:t>malicious external content requesting tools;</w:t>
      </w:r>
    </w:p>
    <w:p>
      <w:pPr>
        <w:spacing w:after="80" w:line="300" w:lineRule="auto"/>
        <w:numPr>
          <w:ilvl w:val="0"/>
          <w:numId w:val="10"/>
        </w:numPr>
      </w:pPr>
      <w:r>
        <w:rPr>
          <w:rFonts w:ascii="Calibri" w:hAnsi="Calibri"/>
          <w:sz w:val="22"/>
        </w:rPr>
        <w:t>deterministic task incorrectly routed to an LLM.</w:t>
      </w:r>
    </w:p>
    <w:p>
      <w:pPr>
        <w:pStyle w:val="Heading1"/>
        <w:keepNext w:val="1"/>
      </w:pPr>
      <w:r>
        <w:rPr>
          <w:rFonts w:ascii="Calibri" w:hAnsi="Calibri"/>
          <w:b/>
          <w:color w:val="2E74B5"/>
          <w:sz w:val="32"/>
        </w:rPr>
        <w:t>11. Tier 1 Specialist Packages</w:t>
      </w:r>
    </w:p>
    <w:p>
      <w:pPr>
        <w:spacing w:after="120" w:line="300" w:lineRule="auto"/>
      </w:pPr>
      <w:r>
        <w:rPr>
          <w:rFonts w:ascii="Calibri" w:hAnsi="Calibri"/>
          <w:sz w:val="22"/>
        </w:rPr>
        <w:t>Every specialist package implements the shared shell and provides identity, input/decision schemas, context assembly, task planning, task-report evaluation, commit behavior, consultations, acceptance criteria, and failure taxonomy.</w:t>
      </w:r>
    </w:p>
    <w:p>
      <w:pPr>
        <w:pStyle w:val="Heading2"/>
        <w:keepNext w:val="1"/>
      </w:pPr>
      <w:r>
        <w:rPr>
          <w:rFonts w:ascii="Calibri" w:hAnsi="Calibri"/>
          <w:b/>
          <w:color w:val="2E74B5"/>
          <w:sz w:val="26"/>
        </w:rPr>
        <w:t>11.1 Data Engineer</w:t>
      </w:r>
    </w:p>
    <w:p>
      <w:pPr>
        <w:spacing w:after="120" w:line="300" w:lineRule="auto"/>
      </w:pPr>
      <w:r>
        <w:rPr>
          <w:rFonts w:ascii="Calibri" w:hAnsi="Calibri"/>
          <w:sz w:val="22"/>
        </w:rPr>
        <w:t xml:space="preserve">Owns ingestion strategy, cleaning, canonical schema, split method, deduplication, leakage decision, and readiness. Tier 2 children include profiling, ingestion code, schema validation, deduplication, split generation, leakage detection, and transformation code. Completion requires immutable split hashes, provenance, governance constraints, quality threshold results, and a </w:t>
      </w:r>
      <w:r>
        <w:rPr>
          <w:rFonts w:ascii="Consolas" w:hAnsi="Consolas"/>
          <w:color w:val="1F4D78"/>
          <w:sz w:val="20"/>
        </w:rPr>
        <w:t>ValidatedDataset</w:t>
      </w:r>
      <w:r>
        <w:rPr>
          <w:rFonts w:ascii="Calibri" w:hAnsi="Calibri"/>
          <w:sz w:val="22"/>
        </w:rPr>
        <w:t xml:space="preserve"> artifact.</w:t>
      </w:r>
    </w:p>
    <w:p>
      <w:pPr>
        <w:pStyle w:val="Heading2"/>
        <w:keepNext w:val="1"/>
      </w:pPr>
      <w:r>
        <w:rPr>
          <w:rFonts w:ascii="Calibri" w:hAnsi="Calibri"/>
          <w:b/>
          <w:color w:val="2E74B5"/>
          <w:sz w:val="26"/>
        </w:rPr>
        <w:t>11.2 Data Quality and Observability</w:t>
      </w:r>
    </w:p>
    <w:p>
      <w:pPr>
        <w:spacing w:after="120" w:line="300" w:lineRule="auto"/>
      </w:pPr>
      <w:r>
        <w:rPr>
          <w:rFonts w:ascii="Calibri" w:hAnsi="Calibri"/>
          <w:sz w:val="22"/>
        </w:rPr>
        <w:t>Owns monitor definitions, thresholds, drift severity, incident creation, and suspension recommendation. Implement scheduled and event-triggered entry points. Results are observations and incident artifacts, not direct changes to dependent systems.</w:t>
      </w:r>
    </w:p>
    <w:p>
      <w:pPr>
        <w:pStyle w:val="Heading2"/>
        <w:keepNext w:val="1"/>
      </w:pPr>
      <w:r>
        <w:rPr>
          <w:rFonts w:ascii="Calibri" w:hAnsi="Calibri"/>
          <w:b/>
          <w:color w:val="2E74B5"/>
          <w:sz w:val="26"/>
        </w:rPr>
        <w:t>11.3 ML Engineer</w:t>
      </w:r>
    </w:p>
    <w:p>
      <w:pPr>
        <w:spacing w:after="120" w:line="300" w:lineRule="auto"/>
      </w:pPr>
      <w:r>
        <w:rPr>
          <w:rFonts w:ascii="Calibri" w:hAnsi="Calibri"/>
          <w:sz w:val="22"/>
        </w:rPr>
        <w:t>Owns base model choice, tuning method, hyperparameters, objective, checkpoint and early-stop strategy, and technical viability for evaluation. It may launch training only with a current Cluster allocation and budget reservation. It cannot alter the immutable evaluation set, approve evaluation, or promote a model.</w:t>
      </w:r>
    </w:p>
    <w:p>
      <w:pPr>
        <w:pStyle w:val="Heading2"/>
        <w:keepNext w:val="1"/>
      </w:pPr>
      <w:r>
        <w:rPr>
          <w:rFonts w:ascii="Calibri" w:hAnsi="Calibri"/>
          <w:b/>
          <w:color w:val="2E74B5"/>
          <w:sz w:val="26"/>
        </w:rPr>
        <w:t>11.4 Cluster and Infrastructure</w:t>
      </w:r>
    </w:p>
    <w:p>
      <w:pPr>
        <w:spacing w:after="120" w:line="300" w:lineRule="auto"/>
      </w:pPr>
      <w:r>
        <w:rPr>
          <w:rFonts w:ascii="Calibri" w:hAnsi="Calibri"/>
          <w:sz w:val="22"/>
        </w:rPr>
        <w:t>The sole compute allocator. Implement offer generation separately from allocation. Offers expire and include backend, resource shape, duration, cost, locality, constraints, and evidence. Automatic retries are limited to infrastructure classifications; user code, policy, and budget failures return to the responsible tier.</w:t>
      </w:r>
    </w:p>
    <w:p>
      <w:pPr>
        <w:pStyle w:val="Heading2"/>
        <w:keepNext w:val="1"/>
      </w:pPr>
      <w:r>
        <w:rPr>
          <w:rFonts w:ascii="Calibri" w:hAnsi="Calibri"/>
          <w:b/>
          <w:color w:val="2E74B5"/>
          <w:sz w:val="26"/>
        </w:rPr>
        <w:t>11.5 MLOps and Experiment Management</w:t>
      </w:r>
    </w:p>
    <w:p>
      <w:pPr>
        <w:spacing w:after="120" w:line="300" w:lineRule="auto"/>
      </w:pPr>
      <w:r>
        <w:rPr>
          <w:rFonts w:ascii="Calibri" w:hAnsi="Calibri"/>
          <w:sz w:val="22"/>
        </w:rPr>
        <w:t>Owns reproducibility, lineage completeness, checkpoint registration, registry-stage transitions, retention, and rollback target selection. A registered checkpoint must link to run, configuration, source revision, environment/container digest, validated dataset version, and original lineage.</w:t>
      </w:r>
    </w:p>
    <w:p>
      <w:pPr>
        <w:pStyle w:val="Heading2"/>
        <w:keepNext w:val="1"/>
      </w:pPr>
      <w:r>
        <w:rPr>
          <w:rFonts w:ascii="Calibri" w:hAnsi="Calibri"/>
          <w:b/>
          <w:color w:val="2E74B5"/>
          <w:sz w:val="26"/>
        </w:rPr>
        <w:t>11.6 Eval</w:t>
      </w:r>
    </w:p>
    <w:p>
      <w:pPr>
        <w:spacing w:after="120" w:line="300" w:lineRule="auto"/>
      </w:pPr>
      <w:r>
        <w:rPr>
          <w:rFonts w:ascii="Calibri" w:hAnsi="Calibri"/>
          <w:sz w:val="22"/>
        </w:rPr>
        <w:t>Owns benchmark selection, sample sufficiency, statistical comparison, regression classification, validity, and promotion recommendation. Inputs are immutable. Benchmark definitions and thresholds cannot change after results are seen. Threshold changes create approved policy artifacts.</w:t>
      </w:r>
    </w:p>
    <w:p>
      <w:pPr>
        <w:pStyle w:val="Heading2"/>
        <w:keepNext w:val="1"/>
      </w:pPr>
      <w:r>
        <w:rPr>
          <w:rFonts w:ascii="Calibri" w:hAnsi="Calibri"/>
          <w:b/>
          <w:color w:val="2E74B5"/>
          <w:sz w:val="26"/>
        </w:rPr>
        <w:t>11.7 Deployment and Serving</w:t>
      </w:r>
    </w:p>
    <w:p>
      <w:pPr>
        <w:spacing w:after="120" w:line="300" w:lineRule="auto"/>
      </w:pPr>
      <w:r>
        <w:rPr>
          <w:rFonts w:ascii="Calibri" w:hAnsi="Calibri"/>
          <w:sz w:val="22"/>
        </w:rPr>
        <w:t>Owns endpoint topology, rollout, autoscaling bounds, health criteria, traffic changes, and rollback. Only this specialist may request serving traffic effects. Every rollout has an approved model, evaluation, serving policy, target, rollback target, health windows, and automatic rollback thresholds.</w:t>
      </w:r>
    </w:p>
    <w:p>
      <w:pPr>
        <w:pStyle w:val="Heading2"/>
        <w:keepNext w:val="1"/>
      </w:pPr>
      <w:r>
        <w:rPr>
          <w:rFonts w:ascii="Calibri" w:hAnsi="Calibri"/>
          <w:b/>
          <w:color w:val="2E74B5"/>
          <w:sz w:val="26"/>
        </w:rPr>
        <w:t>11.8 Connector and Platform Engineering</w:t>
      </w:r>
    </w:p>
    <w:p>
      <w:pPr>
        <w:spacing w:after="120" w:line="300" w:lineRule="auto"/>
      </w:pPr>
      <w:r>
        <w:rPr>
          <w:rFonts w:ascii="Calibri" w:hAnsi="Calibri"/>
          <w:sz w:val="22"/>
        </w:rPr>
        <w:t>Owns connector architecture, auth interpretation, tool schema, sandbox readiness, scopes, and publication recommendation. It receives only public docs, mock credentials, or approved sandbox handles. A deterministic registry service publishes after scans, contract tests, Governance review, and mandatory human approval.</w:t>
      </w:r>
    </w:p>
    <w:p>
      <w:pPr>
        <w:pStyle w:val="Heading2"/>
        <w:keepNext w:val="1"/>
      </w:pPr>
      <w:r>
        <w:rPr>
          <w:rFonts w:ascii="Calibri" w:hAnsi="Calibri"/>
          <w:b/>
          <w:color w:val="2E74B5"/>
          <w:sz w:val="26"/>
        </w:rPr>
        <w:t>11.9 Governance and Security</w:t>
      </w:r>
    </w:p>
    <w:p>
      <w:pPr>
        <w:spacing w:after="120" w:line="300" w:lineRule="auto"/>
      </w:pPr>
      <w:r>
        <w:rPr>
          <w:rFonts w:ascii="Calibri" w:hAnsi="Calibri"/>
          <w:sz w:val="22"/>
        </w:rPr>
        <w:t>Owns data access, PII classification, connector scope, secret-use policy, retention, and compliance results. Cross-specialist checks use typed consultations through the control plane; specialists do not spawn Governance directly.</w:t>
      </w:r>
    </w:p>
    <w:p>
      <w:pPr>
        <w:pStyle w:val="Heading2"/>
        <w:keepNext w:val="1"/>
      </w:pPr>
      <w:r>
        <w:rPr>
          <w:rFonts w:ascii="Calibri" w:hAnsi="Calibri"/>
          <w:b/>
          <w:color w:val="2E74B5"/>
          <w:sz w:val="26"/>
        </w:rPr>
        <w:t>11.10 FinOps and Cost</w:t>
      </w:r>
    </w:p>
    <w:p>
      <w:pPr>
        <w:spacing w:after="120" w:line="300" w:lineRule="auto"/>
      </w:pPr>
      <w:r>
        <w:rPr>
          <w:rFonts w:ascii="Calibri" w:hAnsi="Calibri"/>
          <w:sz w:val="22"/>
        </w:rPr>
        <w:t>Owns attribution, reservations, alerts, anomalies, reconciliation, and spend permission. The package contains deterministic ledger operations plus a specialist for domain judgment. Only deterministic ledger services change balances.</w:t>
      </w:r>
    </w:p>
    <w:p>
      <w:pPr>
        <w:pStyle w:val="Heading2"/>
        <w:keepNext w:val="1"/>
      </w:pPr>
      <w:r>
        <w:rPr>
          <w:rFonts w:ascii="Calibri" w:hAnsi="Calibri"/>
          <w:b/>
          <w:color w:val="2E74B5"/>
          <w:sz w:val="26"/>
        </w:rPr>
        <w:t>11.11 Specialist definition checklist</w:t>
      </w:r>
    </w:p>
    <w:p>
      <w:pPr>
        <w:spacing w:after="120" w:line="300" w:lineRule="auto"/>
      </w:pPr>
      <w:r>
        <w:rPr>
          <w:rFonts w:ascii="Calibri" w:hAnsi="Calibri"/>
          <w:sz w:val="22"/>
        </w:rPr>
        <w:t>No specialist is registered until all fields are complete:</w:t>
      </w:r>
    </w:p>
    <w:p>
      <w:pPr>
        <w:spacing w:after="80" w:line="300" w:lineRule="auto"/>
        <w:numPr>
          <w:ilvl w:val="0"/>
          <w:numId w:val="10"/>
        </w:numPr>
      </w:pPr>
      <w:r>
        <w:rPr>
          <w:rFonts w:ascii="Calibri" w:hAnsi="Calibri"/>
          <w:sz w:val="22"/>
        </w:rPr>
        <w:t>owned and prohibited decisions;</w:t>
      </w:r>
    </w:p>
    <w:p>
      <w:pPr>
        <w:spacing w:after="80" w:line="300" w:lineRule="auto"/>
        <w:numPr>
          <w:ilvl w:val="0"/>
          <w:numId w:val="10"/>
        </w:numPr>
      </w:pPr>
      <w:r>
        <w:rPr>
          <w:rFonts w:ascii="Calibri" w:hAnsi="Calibri"/>
          <w:sz w:val="22"/>
        </w:rPr>
        <w:t>input/output schemas and artifact types;</w:t>
      </w:r>
    </w:p>
    <w:p>
      <w:pPr>
        <w:spacing w:after="80" w:line="300" w:lineRule="auto"/>
        <w:numPr>
          <w:ilvl w:val="0"/>
          <w:numId w:val="10"/>
        </w:numPr>
      </w:pPr>
      <w:r>
        <w:rPr>
          <w:rFonts w:ascii="Calibri" w:hAnsi="Calibri"/>
          <w:sz w:val="22"/>
        </w:rPr>
        <w:t>permitted Tier 2 task types;</w:t>
      </w:r>
    </w:p>
    <w:p>
      <w:pPr>
        <w:spacing w:after="80" w:line="300" w:lineRule="auto"/>
        <w:numPr>
          <w:ilvl w:val="0"/>
          <w:numId w:val="10"/>
        </w:numPr>
      </w:pPr>
      <w:r>
        <w:rPr>
          <w:rFonts w:ascii="Calibri" w:hAnsi="Calibri"/>
          <w:sz w:val="22"/>
        </w:rPr>
        <w:t>read/write authority and resource selectors;</w:t>
      </w:r>
    </w:p>
    <w:p>
      <w:pPr>
        <w:spacing w:after="80" w:line="300" w:lineRule="auto"/>
        <w:numPr>
          <w:ilvl w:val="0"/>
          <w:numId w:val="10"/>
        </w:numPr>
      </w:pPr>
      <w:r>
        <w:rPr>
          <w:rFonts w:ascii="Calibri" w:hAnsi="Calibri"/>
          <w:sz w:val="22"/>
        </w:rPr>
        <w:t>consequential action boundary;</w:t>
      </w:r>
    </w:p>
    <w:p>
      <w:pPr>
        <w:spacing w:after="80" w:line="300" w:lineRule="auto"/>
        <w:numPr>
          <w:ilvl w:val="0"/>
          <w:numId w:val="10"/>
        </w:numPr>
      </w:pPr>
      <w:r>
        <w:rPr>
          <w:rFonts w:ascii="Calibri" w:hAnsi="Calibri"/>
          <w:sz w:val="22"/>
        </w:rPr>
        <w:t>required consultations;</w:t>
      </w:r>
    </w:p>
    <w:p>
      <w:pPr>
        <w:spacing w:after="80" w:line="300" w:lineRule="auto"/>
        <w:numPr>
          <w:ilvl w:val="0"/>
          <w:numId w:val="10"/>
        </w:numPr>
      </w:pPr>
      <w:r>
        <w:rPr>
          <w:rFonts w:ascii="Calibri" w:hAnsi="Calibri"/>
          <w:sz w:val="22"/>
        </w:rPr>
        <w:t>approval conditions;</w:t>
      </w:r>
    </w:p>
    <w:p>
      <w:pPr>
        <w:spacing w:after="80" w:line="300" w:lineRule="auto"/>
        <w:numPr>
          <w:ilvl w:val="0"/>
          <w:numId w:val="10"/>
        </w:numPr>
      </w:pPr>
      <w:r>
        <w:rPr>
          <w:rFonts w:ascii="Calibri" w:hAnsi="Calibri"/>
          <w:sz w:val="22"/>
        </w:rPr>
        <w:t>acceptance policy;</w:t>
      </w:r>
    </w:p>
    <w:p>
      <w:pPr>
        <w:spacing w:after="80" w:line="300" w:lineRule="auto"/>
        <w:numPr>
          <w:ilvl w:val="0"/>
          <w:numId w:val="10"/>
        </w:numPr>
      </w:pPr>
      <w:r>
        <w:rPr>
          <w:rFonts w:ascii="Calibri" w:hAnsi="Calibri"/>
          <w:sz w:val="22"/>
        </w:rPr>
        <w:t>failure classifications and retry behavior;</w:t>
      </w:r>
    </w:p>
    <w:p>
      <w:pPr>
        <w:spacing w:after="80" w:line="300" w:lineRule="auto"/>
        <w:numPr>
          <w:ilvl w:val="0"/>
          <w:numId w:val="10"/>
        </w:numPr>
      </w:pPr>
      <w:r>
        <w:rPr>
          <w:rFonts w:ascii="Calibri" w:hAnsi="Calibri"/>
          <w:sz w:val="22"/>
        </w:rPr>
        <w:t>evaluation dataset and release threshold;</w:t>
      </w:r>
    </w:p>
    <w:p>
      <w:pPr>
        <w:spacing w:after="80" w:line="300" w:lineRule="auto"/>
        <w:numPr>
          <w:ilvl w:val="0"/>
          <w:numId w:val="10"/>
        </w:numPr>
      </w:pPr>
      <w:r>
        <w:rPr>
          <w:rFonts w:ascii="Calibri" w:hAnsi="Calibri"/>
          <w:sz w:val="22"/>
        </w:rPr>
        <w:t>owner team, risk class, version, rollout, and rollback.</w:t>
      </w:r>
    </w:p>
    <w:p>
      <w:pPr>
        <w:pStyle w:val="Heading1"/>
        <w:keepNext w:val="1"/>
      </w:pPr>
      <w:r>
        <w:rPr>
          <w:rFonts w:ascii="Calibri" w:hAnsi="Calibri"/>
          <w:b/>
          <w:color w:val="2E74B5"/>
          <w:sz w:val="32"/>
        </w:rPr>
        <w:t>12. Tier 2 Harnesses and Sandboxes</w:t>
      </w:r>
    </w:p>
    <w:p>
      <w:pPr>
        <w:pStyle w:val="Heading2"/>
        <w:keepNext w:val="1"/>
      </w:pPr>
      <w:r>
        <w:rPr>
          <w:rFonts w:ascii="Calibri" w:hAnsi="Calibri"/>
          <w:b/>
          <w:color w:val="2E74B5"/>
          <w:sz w:val="26"/>
        </w:rPr>
        <w:t>12.1 Coding harness</w:t>
      </w:r>
    </w:p>
    <w:p>
      <w:pPr>
        <w:spacing w:after="120" w:line="300" w:lineRule="auto"/>
      </w:pPr>
      <w:r>
        <w:rPr>
          <w:rFonts w:ascii="Calibri" w:hAnsi="Calibri"/>
          <w:sz w:val="22"/>
        </w:rPr>
        <w:t>Create invocation-specific worktrees or containers. Inputs specify repository, base revision, allowed paths, mounted artifact references, required tests, prohibited operations, network policy, deadline, and output limit. Completion publishes a patch or commit artifact with diff, test results, dependency changes, and source revision.</w:t>
      </w:r>
    </w:p>
    <w:p>
      <w:pPr>
        <w:spacing w:after="120" w:line="300" w:lineRule="auto"/>
      </w:pPr>
      <w:r>
        <w:rPr>
          <w:rFonts w:ascii="Calibri" w:hAnsi="Calibri"/>
          <w:sz w:val="22"/>
        </w:rPr>
        <w:t>Mandatory checks:</w:t>
      </w:r>
    </w:p>
    <w:p>
      <w:pPr>
        <w:spacing w:after="80" w:line="300" w:lineRule="auto"/>
        <w:numPr>
          <w:ilvl w:val="0"/>
          <w:numId w:val="10"/>
        </w:numPr>
      </w:pPr>
      <w:r>
        <w:rPr>
          <w:rFonts w:ascii="Calibri" w:hAnsi="Calibri"/>
          <w:sz w:val="22"/>
        </w:rPr>
        <w:t>all writes remain within allowed paths;</w:t>
      </w:r>
    </w:p>
    <w:p>
      <w:pPr>
        <w:spacing w:after="80" w:line="300" w:lineRule="auto"/>
        <w:numPr>
          <w:ilvl w:val="0"/>
          <w:numId w:val="10"/>
        </w:numPr>
      </w:pPr>
      <w:r>
        <w:rPr>
          <w:rFonts w:ascii="Calibri" w:hAnsi="Calibri"/>
          <w:sz w:val="22"/>
        </w:rPr>
        <w:t>repository base revision matches input;</w:t>
      </w:r>
    </w:p>
    <w:p>
      <w:pPr>
        <w:spacing w:after="80" w:line="300" w:lineRule="auto"/>
        <w:numPr>
          <w:ilvl w:val="0"/>
          <w:numId w:val="10"/>
        </w:numPr>
      </w:pPr>
      <w:r>
        <w:rPr>
          <w:rFonts w:ascii="Calibri" w:hAnsi="Calibri"/>
          <w:sz w:val="22"/>
        </w:rPr>
        <w:t>no secrets or forbidden files are added;</w:t>
      </w:r>
    </w:p>
    <w:p>
      <w:pPr>
        <w:spacing w:after="80" w:line="300" w:lineRule="auto"/>
        <w:numPr>
          <w:ilvl w:val="0"/>
          <w:numId w:val="10"/>
        </w:numPr>
      </w:pPr>
      <w:r>
        <w:rPr>
          <w:rFonts w:ascii="Calibri" w:hAnsi="Calibri"/>
          <w:sz w:val="22"/>
        </w:rPr>
        <w:t>dependency additions satisfy policy;</w:t>
      </w:r>
    </w:p>
    <w:p>
      <w:pPr>
        <w:spacing w:after="80" w:line="300" w:lineRule="auto"/>
        <w:numPr>
          <w:ilvl w:val="0"/>
          <w:numId w:val="10"/>
        </w:numPr>
      </w:pPr>
      <w:r>
        <w:rPr>
          <w:rFonts w:ascii="Calibri" w:hAnsi="Calibri"/>
          <w:sz w:val="22"/>
        </w:rPr>
        <w:t>required tests pass;</w:t>
      </w:r>
    </w:p>
    <w:p>
      <w:pPr>
        <w:spacing w:after="80" w:line="300" w:lineRule="auto"/>
        <w:numPr>
          <w:ilvl w:val="0"/>
          <w:numId w:val="10"/>
        </w:numPr>
      </w:pPr>
      <w:r>
        <w:rPr>
          <w:rFonts w:ascii="Calibri" w:hAnsi="Calibri"/>
          <w:sz w:val="22"/>
        </w:rPr>
        <w:t>produced diff is nonempty when change is required;</w:t>
      </w:r>
    </w:p>
    <w:p>
      <w:pPr>
        <w:spacing w:after="80" w:line="300" w:lineRule="auto"/>
        <w:numPr>
          <w:ilvl w:val="0"/>
          <w:numId w:val="10"/>
        </w:numPr>
      </w:pPr>
      <w:r>
        <w:rPr>
          <w:rFonts w:ascii="Calibri" w:hAnsi="Calibri"/>
          <w:sz w:val="22"/>
        </w:rPr>
        <w:t>sandbox cleanup occurs after artifact publication.</w:t>
      </w:r>
    </w:p>
    <w:p>
      <w:pPr>
        <w:pStyle w:val="Heading2"/>
        <w:keepNext w:val="1"/>
      </w:pPr>
      <w:r>
        <w:rPr>
          <w:rFonts w:ascii="Calibri" w:hAnsi="Calibri"/>
          <w:b/>
          <w:color w:val="2E74B5"/>
          <w:sz w:val="26"/>
        </w:rPr>
        <w:t>12.2 Plugin-backed harness</w:t>
      </w:r>
    </w:p>
    <w:p>
      <w:pPr>
        <w:spacing w:after="120" w:line="300" w:lineRule="auto"/>
      </w:pPr>
      <w:r>
        <w:rPr>
          <w:rFonts w:ascii="Calibri" w:hAnsi="Calibri"/>
          <w:sz w:val="22"/>
        </w:rPr>
        <w:t>Use for bounded tool operations requiring limited interpretation. Define an allowlist of one or two plugins, structured output, maximum tool calls, maximum model turns, and deny-by-default policy. It may not create children or change scope.</w:t>
      </w:r>
    </w:p>
    <w:p>
      <w:pPr>
        <w:pStyle w:val="Heading2"/>
        <w:keepNext w:val="1"/>
      </w:pPr>
      <w:r>
        <w:rPr>
          <w:rFonts w:ascii="Calibri" w:hAnsi="Calibri"/>
          <w:b/>
          <w:color w:val="2E74B5"/>
          <w:sz w:val="26"/>
        </w:rPr>
        <w:t>12.3 Deterministic worker</w:t>
      </w:r>
    </w:p>
    <w:p>
      <w:pPr>
        <w:spacing w:after="120" w:line="300" w:lineRule="auto"/>
      </w:pPr>
      <w:r>
        <w:rPr>
          <w:rFonts w:ascii="Calibri" w:hAnsi="Calibri"/>
          <w:sz w:val="22"/>
        </w:rPr>
        <w:t>Use for validation, hashing, statistics, copying, aggregation, and notifications. The task has input/output schemas, pure or bounded execution, and a separate verifier. It emits the normalized report envelope without using a model.</w:t>
      </w:r>
    </w:p>
    <w:p>
      <w:pPr>
        <w:pStyle w:val="Heading2"/>
        <w:keepNext w:val="1"/>
      </w:pPr>
      <w:r>
        <w:rPr>
          <w:rFonts w:ascii="Calibri" w:hAnsi="Calibri"/>
          <w:b/>
          <w:color w:val="2E74B5"/>
          <w:sz w:val="26"/>
        </w:rPr>
        <w:t>12.4 Sandbox baseline</w:t>
      </w:r>
    </w:p>
    <w:p>
      <w:pPr>
        <w:spacing w:after="80" w:line="300" w:lineRule="auto"/>
        <w:numPr>
          <w:ilvl w:val="0"/>
          <w:numId w:val="10"/>
        </w:numPr>
      </w:pPr>
      <w:r>
        <w:rPr>
          <w:rFonts w:ascii="Calibri" w:hAnsi="Calibri"/>
          <w:sz w:val="22"/>
        </w:rPr>
        <w:t>isolated filesystem and process namespace;</w:t>
      </w:r>
    </w:p>
    <w:p>
      <w:pPr>
        <w:spacing w:after="80" w:line="300" w:lineRule="auto"/>
        <w:numPr>
          <w:ilvl w:val="0"/>
          <w:numId w:val="10"/>
        </w:numPr>
      </w:pPr>
      <w:r>
        <w:rPr>
          <w:rFonts w:ascii="Calibri" w:hAnsi="Calibri"/>
          <w:sz w:val="22"/>
        </w:rPr>
        <w:t>non-root user;</w:t>
      </w:r>
    </w:p>
    <w:p>
      <w:pPr>
        <w:spacing w:after="80" w:line="300" w:lineRule="auto"/>
        <w:numPr>
          <w:ilvl w:val="0"/>
          <w:numId w:val="10"/>
        </w:numPr>
      </w:pPr>
      <w:r>
        <w:rPr>
          <w:rFonts w:ascii="Calibri" w:hAnsi="Calibri"/>
          <w:sz w:val="22"/>
        </w:rPr>
        <w:t>CPU, memory, GPU, process, time, and output quotas;</w:t>
      </w:r>
    </w:p>
    <w:p>
      <w:pPr>
        <w:spacing w:after="80" w:line="300" w:lineRule="auto"/>
        <w:numPr>
          <w:ilvl w:val="0"/>
          <w:numId w:val="10"/>
        </w:numPr>
      </w:pPr>
      <w:r>
        <w:rPr>
          <w:rFonts w:ascii="Calibri" w:hAnsi="Calibri"/>
          <w:sz w:val="22"/>
        </w:rPr>
        <w:t>network deny by default with destination allowlist;</w:t>
      </w:r>
    </w:p>
    <w:p>
      <w:pPr>
        <w:spacing w:after="80" w:line="300" w:lineRule="auto"/>
        <w:numPr>
          <w:ilvl w:val="0"/>
          <w:numId w:val="10"/>
        </w:numPr>
      </w:pPr>
      <w:r>
        <w:rPr>
          <w:rFonts w:ascii="Calibri" w:hAnsi="Calibri"/>
          <w:sz w:val="22"/>
        </w:rPr>
        <w:t>read-only input mounts where possible;</w:t>
      </w:r>
    </w:p>
    <w:p>
      <w:pPr>
        <w:spacing w:after="80" w:line="300" w:lineRule="auto"/>
        <w:numPr>
          <w:ilvl w:val="0"/>
          <w:numId w:val="10"/>
        </w:numPr>
      </w:pPr>
      <w:r>
        <w:rPr>
          <w:rFonts w:ascii="Calibri" w:hAnsi="Calibri"/>
          <w:sz w:val="22"/>
        </w:rPr>
        <w:t>ephemeral capability handles;</w:t>
      </w:r>
    </w:p>
    <w:p>
      <w:pPr>
        <w:spacing w:after="80" w:line="300" w:lineRule="auto"/>
        <w:numPr>
          <w:ilvl w:val="0"/>
          <w:numId w:val="10"/>
        </w:numPr>
      </w:pPr>
      <w:r>
        <w:rPr>
          <w:rFonts w:ascii="Calibri" w:hAnsi="Calibri"/>
          <w:sz w:val="22"/>
        </w:rPr>
        <w:t>no host socket or cloud metadata access;</w:t>
      </w:r>
    </w:p>
    <w:p>
      <w:pPr>
        <w:spacing w:after="80" w:line="300" w:lineRule="auto"/>
        <w:numPr>
          <w:ilvl w:val="0"/>
          <w:numId w:val="10"/>
        </w:numPr>
      </w:pPr>
      <w:r>
        <w:rPr>
          <w:rFonts w:ascii="Calibri" w:hAnsi="Calibri"/>
          <w:sz w:val="22"/>
        </w:rPr>
        <w:t>structured stdout/stderr capture with truncation and secret redaction;</w:t>
      </w:r>
    </w:p>
    <w:p>
      <w:pPr>
        <w:spacing w:after="80" w:line="300" w:lineRule="auto"/>
        <w:numPr>
          <w:ilvl w:val="0"/>
          <w:numId w:val="10"/>
        </w:numPr>
      </w:pPr>
      <w:r>
        <w:rPr>
          <w:rFonts w:ascii="Calibri" w:hAnsi="Calibri"/>
          <w:sz w:val="22"/>
        </w:rPr>
        <w:t>immutable base image digest;</w:t>
      </w:r>
    </w:p>
    <w:p>
      <w:pPr>
        <w:spacing w:after="80" w:line="300" w:lineRule="auto"/>
        <w:numPr>
          <w:ilvl w:val="0"/>
          <w:numId w:val="10"/>
        </w:numPr>
      </w:pPr>
      <w:r>
        <w:rPr>
          <w:rFonts w:ascii="Calibri" w:hAnsi="Calibri"/>
          <w:sz w:val="22"/>
        </w:rPr>
        <w:t>software bill of materials and vulnerability policy;</w:t>
      </w:r>
    </w:p>
    <w:p>
      <w:pPr>
        <w:spacing w:after="80" w:line="300" w:lineRule="auto"/>
        <w:numPr>
          <w:ilvl w:val="0"/>
          <w:numId w:val="10"/>
        </w:numPr>
      </w:pPr>
      <w:r>
        <w:rPr>
          <w:rFonts w:ascii="Calibri" w:hAnsi="Calibri"/>
          <w:sz w:val="22"/>
        </w:rPr>
        <w:t>teardown and orphan reconciliation.</w:t>
      </w:r>
    </w:p>
    <w:p>
      <w:pPr>
        <w:pStyle w:val="Heading1"/>
        <w:keepNext w:val="1"/>
      </w:pPr>
      <w:r>
        <w:rPr>
          <w:rFonts w:ascii="Calibri" w:hAnsi="Calibri"/>
          <w:b/>
          <w:color w:val="2E74B5"/>
          <w:sz w:val="32"/>
        </w:rPr>
        <w:t>13. Backend Adapter Contracts</w:t>
      </w:r>
    </w:p>
    <w:p>
      <w:pPr>
        <w:spacing w:after="120" w:line="300" w:lineRule="auto"/>
      </w:pPr>
      <w:r>
        <w:rPr>
          <w:rFonts w:ascii="Calibri" w:hAnsi="Calibri"/>
          <w:sz w:val="22"/>
        </w:rPr>
        <w:t>Define ports first, contract tests second, implementations third.</w:t>
      </w:r>
    </w:p>
    <w:p>
      <w:pPr>
        <w:pStyle w:val="Heading2"/>
        <w:keepNext w:val="1"/>
      </w:pPr>
      <w:r>
        <w:rPr>
          <w:rFonts w:ascii="Calibri" w:hAnsi="Calibri"/>
          <w:b/>
          <w:color w:val="2E74B5"/>
          <w:sz w:val="26"/>
        </w:rPr>
        <w:t>13.1 Compute backend</w:t>
      </w:r>
    </w:p>
    <w:p>
      <w:pPr>
        <w:spacing w:after="120" w:line="300" w:lineRule="auto"/>
      </w:pPr>
      <w:r>
        <w:rPr>
          <w:rFonts w:ascii="Calibri" w:hAnsi="Calibri"/>
          <w:sz w:val="22"/>
        </w:rPr>
        <w:t>Operations: inspect capacity, estimate offers, allocate from approved grant, submit job, observe job, terminate job, and release allocation. All mutating calls take an idempotency key. Observations include monotonic sequence, backend native ID, normalized state, resources, timestamps, metrics, and raw evidence reference.</w:t>
      </w:r>
    </w:p>
    <w:p>
      <w:pPr>
        <w:spacing w:after="120" w:line="300" w:lineRule="auto"/>
      </w:pPr>
      <w:r>
        <w:rPr>
          <w:rFonts w:ascii="Calibri" w:hAnsi="Calibri"/>
          <w:sz w:val="22"/>
        </w:rPr>
        <w:t>Implement in order:</w:t>
      </w:r>
    </w:p>
    <w:p>
      <w:pPr>
        <w:spacing w:after="80" w:line="300" w:lineRule="auto"/>
        <w:numPr>
          <w:ilvl w:val="0"/>
          <w:numId w:val="18"/>
        </w:numPr>
      </w:pPr>
      <w:r>
        <w:rPr>
          <w:rFonts w:ascii="Calibri" w:hAnsi="Calibri"/>
          <w:sz w:val="22"/>
        </w:rPr>
        <w:t>fake adapter for tests;</w:t>
      </w:r>
    </w:p>
    <w:p>
      <w:pPr>
        <w:spacing w:after="80" w:line="300" w:lineRule="auto"/>
        <w:numPr>
          <w:ilvl w:val="0"/>
          <w:numId w:val="18"/>
        </w:numPr>
      </w:pPr>
      <w:r>
        <w:rPr>
          <w:rFonts w:ascii="Calibri" w:hAnsi="Calibri"/>
          <w:sz w:val="22"/>
        </w:rPr>
        <w:t>local CPU/GPU adapter;</w:t>
      </w:r>
    </w:p>
    <w:p>
      <w:pPr>
        <w:spacing w:after="80" w:line="300" w:lineRule="auto"/>
        <w:numPr>
          <w:ilvl w:val="0"/>
          <w:numId w:val="18"/>
        </w:numPr>
      </w:pPr>
      <w:r>
        <w:rPr>
          <w:rFonts w:ascii="Calibri" w:hAnsi="Calibri"/>
          <w:sz w:val="22"/>
        </w:rPr>
        <w:t>Kubernetes adapter;</w:t>
      </w:r>
    </w:p>
    <w:p>
      <w:pPr>
        <w:spacing w:after="80" w:line="300" w:lineRule="auto"/>
        <w:numPr>
          <w:ilvl w:val="0"/>
          <w:numId w:val="18"/>
        </w:numPr>
      </w:pPr>
      <w:r>
        <w:rPr>
          <w:rFonts w:ascii="Calibri" w:hAnsi="Calibri"/>
          <w:sz w:val="22"/>
        </w:rPr>
        <w:t>SLURM adapter only after explicit approval.</w:t>
      </w:r>
    </w:p>
    <w:p>
      <w:pPr>
        <w:pStyle w:val="Heading2"/>
        <w:keepNext w:val="1"/>
      </w:pPr>
      <w:r>
        <w:rPr>
          <w:rFonts w:ascii="Calibri" w:hAnsi="Calibri"/>
          <w:b/>
          <w:color w:val="2E74B5"/>
          <w:sz w:val="26"/>
        </w:rPr>
        <w:t>13.2 Experiment backend</w:t>
      </w:r>
    </w:p>
    <w:p>
      <w:pPr>
        <w:spacing w:after="120" w:line="300" w:lineRule="auto"/>
      </w:pPr>
      <w:r>
        <w:rPr>
          <w:rFonts w:ascii="Calibri" w:hAnsi="Calibri"/>
          <w:sz w:val="22"/>
        </w:rPr>
        <w:t>Operations: create run, log metric, log artifact, register checkpoint, finalize run, and resolve run. Implement local filesystem/SQLite first, then MLflow; add W&amp;B only through a separate adapter.</w:t>
      </w:r>
    </w:p>
    <w:p>
      <w:pPr>
        <w:pStyle w:val="Heading2"/>
        <w:keepNext w:val="1"/>
      </w:pPr>
      <w:r>
        <w:rPr>
          <w:rFonts w:ascii="Calibri" w:hAnsi="Calibri"/>
          <w:b/>
          <w:color w:val="2E74B5"/>
          <w:sz w:val="26"/>
        </w:rPr>
        <w:t>13.3 Catalog backend</w:t>
      </w:r>
    </w:p>
    <w:p>
      <w:pPr>
        <w:spacing w:after="120" w:line="300" w:lineRule="auto"/>
      </w:pPr>
      <w:r>
        <w:rPr>
          <w:rFonts w:ascii="Calibri" w:hAnsi="Calibri"/>
          <w:sz w:val="22"/>
        </w:rPr>
        <w:t>Operations: resolve dataset, read schema, create version intent, publish approved version, read lineage, and mark lifecycle state. Provide local catalog first.</w:t>
      </w:r>
    </w:p>
    <w:p>
      <w:pPr>
        <w:pStyle w:val="Heading2"/>
        <w:keepNext w:val="1"/>
      </w:pPr>
      <w:r>
        <w:rPr>
          <w:rFonts w:ascii="Calibri" w:hAnsi="Calibri"/>
          <w:b/>
          <w:color w:val="2E74B5"/>
          <w:sz w:val="26"/>
        </w:rPr>
        <w:t>13.4 Secret broker</w:t>
      </w:r>
    </w:p>
    <w:p>
      <w:pPr>
        <w:spacing w:after="120" w:line="300" w:lineRule="auto"/>
      </w:pPr>
      <w:r>
        <w:rPr>
          <w:rFonts w:ascii="Calibri" w:hAnsi="Calibri"/>
          <w:sz w:val="22"/>
        </w:rPr>
        <w:t>Operations: request handle, execute capability, rotate/revoke handle, and audit usage. The broker never returns secret plaintext to callers. Local development may use OS keychain or environment-backed handles, but test logs must prove redaction.</w:t>
      </w:r>
    </w:p>
    <w:p>
      <w:pPr>
        <w:pStyle w:val="Heading2"/>
        <w:keepNext w:val="1"/>
      </w:pPr>
      <w:r>
        <w:rPr>
          <w:rFonts w:ascii="Calibri" w:hAnsi="Calibri"/>
          <w:b/>
          <w:color w:val="2E74B5"/>
          <w:sz w:val="26"/>
        </w:rPr>
        <w:t>13.5 Serving backend</w:t>
      </w:r>
    </w:p>
    <w:p>
      <w:pPr>
        <w:spacing w:after="120" w:line="300" w:lineRule="auto"/>
      </w:pPr>
      <w:r>
        <w:rPr>
          <w:rFonts w:ascii="Calibri" w:hAnsi="Calibri"/>
          <w:sz w:val="22"/>
        </w:rPr>
        <w:t>Operations: provision revision, smoke test, set weighted traffic, observe health, rollback, and deprovision. Mutations require Deployment authority and an approval digest.</w:t>
      </w:r>
    </w:p>
    <w:p>
      <w:pPr>
        <w:pStyle w:val="Heading2"/>
        <w:keepNext w:val="1"/>
      </w:pPr>
      <w:r>
        <w:rPr>
          <w:rFonts w:ascii="Calibri" w:hAnsi="Calibri"/>
          <w:b/>
          <w:color w:val="2E74B5"/>
          <w:sz w:val="26"/>
        </w:rPr>
        <w:t>13.6 Adapter contract suite</w:t>
      </w:r>
    </w:p>
    <w:p>
      <w:pPr>
        <w:spacing w:after="120" w:line="300" w:lineRule="auto"/>
      </w:pPr>
      <w:r>
        <w:rPr>
          <w:rFonts w:ascii="Calibri" w:hAnsi="Calibri"/>
          <w:sz w:val="22"/>
        </w:rPr>
        <w:t>Every adapter implementation must pass the same tests for idempotency, timeout, cancellation, error mapping, observation ordering, tenant isolation, authorization, metrics, and cleanup. Provider-specific behavior remains behind normalized errors and evidence artifacts.</w:t>
      </w:r>
    </w:p>
    <w:p>
      <w:pPr>
        <w:pStyle w:val="Heading1"/>
        <w:keepNext w:val="1"/>
      </w:pPr>
      <w:r>
        <w:rPr>
          <w:rFonts w:ascii="Calibri" w:hAnsi="Calibri"/>
          <w:b/>
          <w:color w:val="2E74B5"/>
          <w:sz w:val="32"/>
        </w:rPr>
        <w:t>14. API and Subscription Surface</w:t>
      </w:r>
    </w:p>
    <w:p>
      <w:pPr>
        <w:pStyle w:val="Heading2"/>
        <w:keepNext w:val="1"/>
      </w:pPr>
      <w:r>
        <w:rPr>
          <w:rFonts w:ascii="Calibri" w:hAnsi="Calibri"/>
          <w:b/>
          <w:color w:val="2E74B5"/>
          <w:sz w:val="26"/>
        </w:rPr>
        <w:t>14.1 Command endpoints</w:t>
      </w:r>
    </w:p>
    <w:tbl>
      <w:tblPr>
        <w:tblW w:type="dxa" w:w="9360"/>
        <w:jc w:val="left"/>
        <w:tblLayout w:type="fixed"/>
        <w:tblLook w:firstColumn="1" w:firstRow="1" w:lastColumn="0" w:lastRow="0" w:noHBand="0" w:noVBand="1" w:val="04A0"/>
        <w:tblInd w:w="120" w:type="dxa"/>
        <w:tblBorders>
          <w:top w:val="single" w:sz="4" w:color="D3DAE2"/>
          <w:left w:val="single" w:sz="4" w:color="D3DAE2"/>
          <w:bottom w:val="single" w:sz="4" w:color="D3DAE2"/>
          <w:right w:val="single" w:sz="4" w:color="D3DAE2"/>
          <w:insideH w:val="single" w:sz="4" w:color="D3DAE2"/>
          <w:insideV w:val="single" w:sz="4" w:color="D3DAE2"/>
        </w:tblBorders>
      </w:tblPr>
      <w:tblGrid>
        <w:gridCol w:w="9360"/>
      </w:tblGrid>
      <w:tr>
        <w:tc>
          <w:tcPr>
            <w:tcW w:type="dxa" w:w="9360"/>
            <w:tcMar>
              <w:top w:w="80" w:type="dxa"/>
              <w:start w:w="120" w:type="dxa"/>
              <w:bottom w:w="80" w:type="dxa"/>
              <w:end w:w="120" w:type="dxa"/>
            </w:tcMar>
            <w:shd w:fill="F7F8FA"/>
          </w:tcPr>
          <w:p>
            <w:pPr>
              <w:spacing w:after="0" w:line="240" w:lineRule="auto"/>
            </w:pPr>
            <w:r>
              <w:rPr>
                <w:rFonts w:ascii="Consolas" w:hAnsi="Consolas"/>
                <w:color w:val="263442"/>
                <w:sz w:val="17"/>
              </w:rPr>
              <w:t>POST /v1/commands</w:t>
            </w:r>
            <w:r>
              <w:br/>
            </w:r>
            <w:r>
              <w:rPr>
                <w:rFonts w:ascii="Consolas" w:hAnsi="Consolas"/>
                <w:color w:val="263442"/>
                <w:sz w:val="17"/>
              </w:rPr>
              <w:t>POST /v1/workflows/{workflowId}/cancel</w:t>
            </w:r>
            <w:r>
              <w:br/>
            </w:r>
            <w:r>
              <w:rPr>
                <w:rFonts w:ascii="Consolas" w:hAnsi="Consolas"/>
                <w:color w:val="263442"/>
                <w:sz w:val="17"/>
              </w:rPr>
              <w:t>POST /v1/workflows/{workflowId}/pause</w:t>
            </w:r>
            <w:r>
              <w:br/>
            </w:r>
            <w:r>
              <w:rPr>
                <w:rFonts w:ascii="Consolas" w:hAnsi="Consolas"/>
                <w:color w:val="263442"/>
                <w:sz w:val="17"/>
              </w:rPr>
              <w:t>POST /v1/workflows/{workflowId}/resume</w:t>
            </w:r>
            <w:r>
              <w:br/>
            </w:r>
            <w:r>
              <w:rPr>
                <w:rFonts w:ascii="Consolas" w:hAnsi="Consolas"/>
                <w:color w:val="263442"/>
                <w:sz w:val="17"/>
              </w:rPr>
              <w:t>POST /v1/approvals/{approvalId}/decisions</w:t>
            </w:r>
            <w:r>
              <w:br/>
            </w:r>
            <w:r>
              <w:rPr>
                <w:rFonts w:ascii="Consolas" w:hAnsi="Consolas"/>
                <w:color w:val="263442"/>
                <w:sz w:val="17"/>
              </w:rPr>
              <w:t>POST /v1/artifacts/{artifactId}/versions</w:t>
            </w:r>
          </w:p>
        </w:tc>
      </w:tr>
    </w:tbl>
    <w:p>
      <w:pPr>
        <w:spacing w:after="0"/>
      </w:pPr>
    </w:p>
    <w:p>
      <w:pPr>
        <w:spacing w:after="120" w:line="300" w:lineRule="auto"/>
      </w:pPr>
      <w:r>
        <w:rPr>
          <w:rFonts w:ascii="Calibri" w:hAnsi="Calibri"/>
          <w:sz w:val="22"/>
        </w:rPr>
        <w:t xml:space="preserve">All mutating calls require authentication, tenant/workspace scope, </w:t>
      </w:r>
      <w:r>
        <w:rPr>
          <w:rFonts w:ascii="Consolas" w:hAnsi="Consolas"/>
          <w:color w:val="1F4D78"/>
          <w:sz w:val="20"/>
        </w:rPr>
        <w:t>Idempotency-Key</w:t>
      </w:r>
      <w:r>
        <w:rPr>
          <w:rFonts w:ascii="Calibri" w:hAnsi="Calibri"/>
          <w:sz w:val="22"/>
        </w:rPr>
        <w:t>, and expected version when updating an aggregate.</w:t>
      </w:r>
    </w:p>
    <w:p>
      <w:pPr>
        <w:pStyle w:val="Heading2"/>
        <w:keepNext w:val="1"/>
      </w:pPr>
      <w:r>
        <w:rPr>
          <w:rFonts w:ascii="Calibri" w:hAnsi="Calibri"/>
          <w:b/>
          <w:color w:val="2E74B5"/>
          <w:sz w:val="26"/>
        </w:rPr>
        <w:t>14.2 Query endpoints</w:t>
      </w:r>
    </w:p>
    <w:tbl>
      <w:tblPr>
        <w:tblW w:type="dxa" w:w="9360"/>
        <w:jc w:val="left"/>
        <w:tblLayout w:type="fixed"/>
        <w:tblLook w:firstColumn="1" w:firstRow="1" w:lastColumn="0" w:lastRow="0" w:noHBand="0" w:noVBand="1" w:val="04A0"/>
        <w:tblInd w:w="120" w:type="dxa"/>
        <w:tblBorders>
          <w:top w:val="single" w:sz="4" w:color="D3DAE2"/>
          <w:left w:val="single" w:sz="4" w:color="D3DAE2"/>
          <w:bottom w:val="single" w:sz="4" w:color="D3DAE2"/>
          <w:right w:val="single" w:sz="4" w:color="D3DAE2"/>
          <w:insideH w:val="single" w:sz="4" w:color="D3DAE2"/>
          <w:insideV w:val="single" w:sz="4" w:color="D3DAE2"/>
        </w:tblBorders>
      </w:tblPr>
      <w:tblGrid>
        <w:gridCol w:w="9360"/>
      </w:tblGrid>
      <w:tr>
        <w:tc>
          <w:tcPr>
            <w:tcW w:type="dxa" w:w="9360"/>
            <w:tcMar>
              <w:top w:w="80" w:type="dxa"/>
              <w:start w:w="120" w:type="dxa"/>
              <w:bottom w:w="80" w:type="dxa"/>
              <w:end w:w="120" w:type="dxa"/>
            </w:tcMar>
            <w:shd w:fill="F7F8FA"/>
          </w:tcPr>
          <w:p>
            <w:pPr>
              <w:spacing w:after="0" w:line="240" w:lineRule="auto"/>
            </w:pPr>
            <w:r>
              <w:rPr>
                <w:rFonts w:ascii="Consolas" w:hAnsi="Consolas"/>
                <w:color w:val="263442"/>
                <w:sz w:val="17"/>
              </w:rPr>
              <w:t>GET /v1/workflows/{workflowId}</w:t>
            </w:r>
            <w:r>
              <w:br/>
            </w:r>
            <w:r>
              <w:rPr>
                <w:rFonts w:ascii="Consolas" w:hAnsi="Consolas"/>
                <w:color w:val="263442"/>
                <w:sz w:val="17"/>
              </w:rPr>
              <w:t>GET /v1/workflows/{workflowId}/plan</w:t>
            </w:r>
            <w:r>
              <w:br/>
            </w:r>
            <w:r>
              <w:rPr>
                <w:rFonts w:ascii="Consolas" w:hAnsi="Consolas"/>
                <w:color w:val="263442"/>
                <w:sz w:val="17"/>
              </w:rPr>
              <w:t>GET /v1/invocations/{invocationId}</w:t>
            </w:r>
            <w:r>
              <w:br/>
            </w:r>
            <w:r>
              <w:rPr>
                <w:rFonts w:ascii="Consolas" w:hAnsi="Consolas"/>
                <w:color w:val="263442"/>
                <w:sz w:val="17"/>
              </w:rPr>
              <w:t>GET /v1/artifacts/{artifactId}/versions/{version}</w:t>
            </w:r>
            <w:r>
              <w:br/>
            </w:r>
            <w:r>
              <w:rPr>
                <w:rFonts w:ascii="Consolas" w:hAnsi="Consolas"/>
                <w:color w:val="263442"/>
                <w:sz w:val="17"/>
              </w:rPr>
              <w:t>GET /v1/projections/jobs</w:t>
            </w:r>
            <w:r>
              <w:br/>
            </w:r>
            <w:r>
              <w:rPr>
                <w:rFonts w:ascii="Consolas" w:hAnsi="Consolas"/>
                <w:color w:val="263442"/>
                <w:sz w:val="17"/>
              </w:rPr>
              <w:t>GET /v1/projections/compute</w:t>
            </w:r>
            <w:r>
              <w:br/>
            </w:r>
            <w:r>
              <w:rPr>
                <w:rFonts w:ascii="Consolas" w:hAnsi="Consolas"/>
                <w:color w:val="263442"/>
                <w:sz w:val="17"/>
              </w:rPr>
              <w:t>GET /v1/projections/cost</w:t>
            </w:r>
            <w:r>
              <w:br/>
            </w:r>
            <w:r>
              <w:rPr>
                <w:rFonts w:ascii="Consolas" w:hAnsi="Consolas"/>
                <w:color w:val="263442"/>
                <w:sz w:val="17"/>
              </w:rPr>
              <w:t>GET /v1/projections/approvals</w:t>
            </w:r>
            <w:r>
              <w:br/>
            </w:r>
            <w:r>
              <w:rPr>
                <w:rFonts w:ascii="Consolas" w:hAnsi="Consolas"/>
                <w:color w:val="263442"/>
                <w:sz w:val="17"/>
              </w:rPr>
              <w:t>GET /v1/audit</w:t>
            </w:r>
          </w:p>
        </w:tc>
      </w:tr>
    </w:tbl>
    <w:p>
      <w:pPr>
        <w:spacing w:after="0"/>
      </w:pPr>
    </w:p>
    <w:p>
      <w:pPr>
        <w:spacing w:after="120" w:line="300" w:lineRule="auto"/>
      </w:pPr>
      <w:r>
        <w:rPr>
          <w:rFonts w:ascii="Calibri" w:hAnsi="Calibri"/>
          <w:sz w:val="22"/>
        </w:rPr>
        <w:t>Use cursor pagination. Large logs and objects are streamed from bounded endpoints or pre-signed read handles after authorization.</w:t>
      </w:r>
    </w:p>
    <w:p>
      <w:pPr>
        <w:pStyle w:val="Heading2"/>
        <w:keepNext w:val="1"/>
      </w:pPr>
      <w:r>
        <w:rPr>
          <w:rFonts w:ascii="Calibri" w:hAnsi="Calibri"/>
          <w:b/>
          <w:color w:val="2E74B5"/>
          <w:sz w:val="26"/>
        </w:rPr>
        <w:t>14.3 Live updates</w:t>
      </w:r>
    </w:p>
    <w:p>
      <w:pPr>
        <w:spacing w:after="80" w:line="300" w:lineRule="auto"/>
        <w:numPr>
          <w:ilvl w:val="0"/>
          <w:numId w:val="10"/>
        </w:numPr>
      </w:pPr>
      <w:r>
        <w:rPr>
          <w:rFonts w:ascii="Calibri" w:hAnsi="Calibri"/>
          <w:sz w:val="22"/>
        </w:rPr>
        <w:t>WebSocket for chat/session control and bidirectional interaction.</w:t>
      </w:r>
    </w:p>
    <w:p>
      <w:pPr>
        <w:spacing w:after="80" w:line="300" w:lineRule="auto"/>
        <w:numPr>
          <w:ilvl w:val="0"/>
          <w:numId w:val="10"/>
        </w:numPr>
      </w:pPr>
      <w:r>
        <w:rPr>
          <w:rFonts w:ascii="Calibri" w:hAnsi="Calibri"/>
          <w:sz w:val="22"/>
        </w:rPr>
        <w:t>SSE for panel subscriptions and read-only event feeds.</w:t>
      </w:r>
    </w:p>
    <w:p>
      <w:pPr>
        <w:spacing w:after="80" w:line="300" w:lineRule="auto"/>
        <w:numPr>
          <w:ilvl w:val="0"/>
          <w:numId w:val="10"/>
        </w:numPr>
      </w:pPr>
      <w:r>
        <w:rPr>
          <w:rFonts w:ascii="Calibri" w:hAnsi="Calibri"/>
          <w:sz w:val="22"/>
        </w:rPr>
        <w:t>Every event includes a workspace cursor.</w:t>
      </w:r>
    </w:p>
    <w:p>
      <w:pPr>
        <w:spacing w:after="80" w:line="300" w:lineRule="auto"/>
        <w:numPr>
          <w:ilvl w:val="0"/>
          <w:numId w:val="10"/>
        </w:numPr>
      </w:pPr>
      <w:r>
        <w:rPr>
          <w:rFonts w:ascii="Calibri" w:hAnsi="Calibri"/>
          <w:sz w:val="22"/>
        </w:rPr>
        <w:t xml:space="preserve">Reconnect supplies </w:t>
      </w:r>
      <w:r>
        <w:rPr>
          <w:rFonts w:ascii="Consolas" w:hAnsi="Consolas"/>
          <w:color w:val="1F4D78"/>
          <w:sz w:val="20"/>
        </w:rPr>
        <w:t>afterCursor</w:t>
      </w:r>
      <w:r>
        <w:rPr>
          <w:rFonts w:ascii="Calibri" w:hAnsi="Calibri"/>
          <w:sz w:val="22"/>
        </w:rPr>
        <w:t>; the server replays missed projection events.</w:t>
      </w:r>
    </w:p>
    <w:p>
      <w:pPr>
        <w:spacing w:after="80" w:line="300" w:lineRule="auto"/>
        <w:numPr>
          <w:ilvl w:val="0"/>
          <w:numId w:val="10"/>
        </w:numPr>
      </w:pPr>
      <w:r>
        <w:rPr>
          <w:rFonts w:ascii="Calibri" w:hAnsi="Calibri"/>
          <w:sz w:val="22"/>
        </w:rPr>
        <w:t>If the cursor is outside retention or projection version changed, return a reset signal and fetch a fresh snapshot.</w:t>
      </w:r>
    </w:p>
    <w:p>
      <w:pPr>
        <w:spacing w:after="80" w:line="300" w:lineRule="auto"/>
        <w:numPr>
          <w:ilvl w:val="0"/>
          <w:numId w:val="10"/>
        </w:numPr>
      </w:pPr>
      <w:r>
        <w:rPr>
          <w:rFonts w:ascii="Calibri" w:hAnsi="Calibri"/>
          <w:sz w:val="22"/>
        </w:rPr>
        <w:t>Polling is only a degradation fallback.</w:t>
      </w:r>
    </w:p>
    <w:p>
      <w:pPr>
        <w:pStyle w:val="Heading2"/>
        <w:keepNext w:val="1"/>
      </w:pPr>
      <w:r>
        <w:rPr>
          <w:rFonts w:ascii="Calibri" w:hAnsi="Calibri"/>
          <w:b/>
          <w:color w:val="2E74B5"/>
          <w:sz w:val="26"/>
        </w:rPr>
        <w:t>14.4 API acceptance criteria</w:t>
      </w:r>
    </w:p>
    <w:p>
      <w:pPr>
        <w:spacing w:after="80" w:line="300" w:lineRule="auto"/>
        <w:numPr>
          <w:ilvl w:val="0"/>
          <w:numId w:val="10"/>
        </w:numPr>
      </w:pPr>
      <w:r>
        <w:rPr>
          <w:rFonts w:ascii="Calibri" w:hAnsi="Calibri"/>
          <w:sz w:val="22"/>
        </w:rPr>
        <w:t>OpenAPI is generated from contract schemas.</w:t>
      </w:r>
    </w:p>
    <w:p>
      <w:pPr>
        <w:spacing w:after="80" w:line="300" w:lineRule="auto"/>
        <w:numPr>
          <w:ilvl w:val="0"/>
          <w:numId w:val="10"/>
        </w:numPr>
      </w:pPr>
      <w:r>
        <w:rPr>
          <w:rFonts w:ascii="Calibri" w:hAnsi="Calibri"/>
          <w:sz w:val="22"/>
        </w:rPr>
        <w:t>Authentication and tenant scope are tested on every route.</w:t>
      </w:r>
    </w:p>
    <w:p>
      <w:pPr>
        <w:spacing w:after="80" w:line="300" w:lineRule="auto"/>
        <w:numPr>
          <w:ilvl w:val="0"/>
          <w:numId w:val="10"/>
        </w:numPr>
      </w:pPr>
      <w:r>
        <w:rPr>
          <w:rFonts w:ascii="Calibri" w:hAnsi="Calibri"/>
          <w:sz w:val="22"/>
        </w:rPr>
        <w:t>Idempotency and version conflict behavior are consistent.</w:t>
      </w:r>
    </w:p>
    <w:p>
      <w:pPr>
        <w:spacing w:after="80" w:line="300" w:lineRule="auto"/>
        <w:numPr>
          <w:ilvl w:val="0"/>
          <w:numId w:val="10"/>
        </w:numPr>
      </w:pPr>
      <w:r>
        <w:rPr>
          <w:rFonts w:ascii="Calibri" w:hAnsi="Calibri"/>
          <w:sz w:val="22"/>
        </w:rPr>
        <w:t>Subscription reconnect produces no gaps; duplicates are harmless.</w:t>
      </w:r>
    </w:p>
    <w:p>
      <w:pPr>
        <w:spacing w:after="80" w:line="300" w:lineRule="auto"/>
        <w:numPr>
          <w:ilvl w:val="0"/>
          <w:numId w:val="10"/>
        </w:numPr>
      </w:pPr>
      <w:r>
        <w:rPr>
          <w:rFonts w:ascii="Calibri" w:hAnsi="Calibri"/>
          <w:sz w:val="22"/>
        </w:rPr>
        <w:t>Backpressure and slow consumers do not block the control plane.</w:t>
      </w:r>
    </w:p>
    <w:p>
      <w:pPr>
        <w:spacing w:after="80" w:line="300" w:lineRule="auto"/>
        <w:numPr>
          <w:ilvl w:val="0"/>
          <w:numId w:val="10"/>
        </w:numPr>
      </w:pPr>
      <w:r>
        <w:rPr>
          <w:rFonts w:ascii="Calibri" w:hAnsi="Calibri"/>
          <w:sz w:val="22"/>
        </w:rPr>
        <w:t>Error responses never expose stack traces or secrets.</w:t>
      </w:r>
    </w:p>
    <w:p>
      <w:r>
        <w:br w:type="page"/>
      </w:r>
    </w:p>
    <w:p>
      <w:pPr>
        <w:pStyle w:val="Heading1"/>
        <w:keepNext w:val="1"/>
      </w:pPr>
      <w:r>
        <w:rPr>
          <w:rFonts w:ascii="Calibri" w:hAnsi="Calibri"/>
          <w:b/>
          <w:color w:val="2E74B5"/>
          <w:sz w:val="32"/>
        </w:rPr>
        <w:t>Phase 0 — Bootstrap and Architectural Decisions</w:t>
      </w:r>
    </w:p>
    <w:p>
      <w:pPr>
        <w:spacing w:after="120" w:line="300" w:lineRule="auto"/>
      </w:pPr>
      <w:r>
        <w:rPr>
          <w:rFonts w:ascii="Calibri" w:hAnsi="Calibri"/>
          <w:b/>
          <w:sz w:val="22"/>
        </w:rPr>
        <w:t>Goal:</w:t>
      </w:r>
      <w:r>
        <w:rPr>
          <w:rFonts w:ascii="Calibri" w:hAnsi="Calibri"/>
          <w:sz w:val="22"/>
        </w:rPr>
        <w:t xml:space="preserve"> Establish a reproducible repository and resolve choices that affect every subsequent phase.</w:t>
      </w:r>
    </w:p>
    <w:p>
      <w:pPr>
        <w:pStyle w:val="Heading2"/>
        <w:keepNext w:val="1"/>
      </w:pPr>
      <w:r>
        <w:rPr>
          <w:rFonts w:ascii="Calibri" w:hAnsi="Calibri"/>
          <w:b/>
          <w:color w:val="2E74B5"/>
          <w:sz w:val="26"/>
        </w:rPr>
        <w:t>WP0.1 Repository bootstrap</w:t>
      </w:r>
    </w:p>
    <w:p>
      <w:pPr>
        <w:spacing w:after="80" w:line="300" w:lineRule="auto"/>
        <w:numPr>
          <w:ilvl w:val="0"/>
          <w:numId w:val="10"/>
        </w:numPr>
      </w:pPr>
      <w:r>
        <w:rPr>
          <w:rFonts w:ascii="Calibri" w:hAnsi="Calibri"/>
          <w:sz w:val="22"/>
        </w:rPr>
        <w:t xml:space="preserve">Initialize Git, </w:t>
      </w:r>
      <w:r>
        <w:rPr>
          <w:rFonts w:ascii="Consolas" w:hAnsi="Consolas"/>
          <w:color w:val="1F4D78"/>
          <w:sz w:val="20"/>
        </w:rPr>
        <w:t>.editorconfig</w:t>
      </w:r>
      <w:r>
        <w:rPr>
          <w:rFonts w:ascii="Calibri" w:hAnsi="Calibri"/>
          <w:sz w:val="22"/>
        </w:rPr>
        <w:t xml:space="preserve">, </w:t>
      </w:r>
      <w:r>
        <w:rPr>
          <w:rFonts w:ascii="Consolas" w:hAnsi="Consolas"/>
          <w:color w:val="1F4D78"/>
          <w:sz w:val="20"/>
        </w:rPr>
        <w:t>.gitattributes</w:t>
      </w:r>
      <w:r>
        <w:rPr>
          <w:rFonts w:ascii="Calibri" w:hAnsi="Calibri"/>
          <w:sz w:val="22"/>
        </w:rPr>
        <w:t>, ignore rules, license choice placeholder, ownership, and contribution guide.</w:t>
      </w:r>
    </w:p>
    <w:p>
      <w:pPr>
        <w:spacing w:after="80" w:line="300" w:lineRule="auto"/>
        <w:numPr>
          <w:ilvl w:val="0"/>
          <w:numId w:val="10"/>
        </w:numPr>
      </w:pPr>
      <w:r>
        <w:rPr>
          <w:rFonts w:ascii="Calibri" w:hAnsi="Calibri"/>
          <w:sz w:val="22"/>
        </w:rPr>
        <w:t>Create pnpm workspace and task runner configuration.</w:t>
      </w:r>
    </w:p>
    <w:p>
      <w:pPr>
        <w:spacing w:after="80" w:line="300" w:lineRule="auto"/>
        <w:numPr>
          <w:ilvl w:val="0"/>
          <w:numId w:val="10"/>
        </w:numPr>
      </w:pPr>
      <w:r>
        <w:rPr>
          <w:rFonts w:ascii="Calibri" w:hAnsi="Calibri"/>
          <w:sz w:val="22"/>
        </w:rPr>
        <w:t>Configure TypeScript strict mode, ESLint, formatter, unit test runner, package boundary checks, and commit-independent build commands.</w:t>
      </w:r>
    </w:p>
    <w:p>
      <w:pPr>
        <w:spacing w:after="80" w:line="300" w:lineRule="auto"/>
        <w:numPr>
          <w:ilvl w:val="0"/>
          <w:numId w:val="10"/>
        </w:numPr>
      </w:pPr>
      <w:r>
        <w:rPr>
          <w:rFonts w:ascii="Calibri" w:hAnsi="Calibri"/>
          <w:sz w:val="22"/>
        </w:rPr>
        <w:t xml:space="preserve">Add </w:t>
      </w:r>
      <w:r>
        <w:rPr>
          <w:rFonts w:ascii="Consolas" w:hAnsi="Consolas"/>
          <w:color w:val="1F4D78"/>
          <w:sz w:val="20"/>
        </w:rPr>
        <w:t>docs/adr/README.md</w:t>
      </w:r>
      <w:r>
        <w:rPr>
          <w:rFonts w:ascii="Calibri" w:hAnsi="Calibri"/>
          <w:sz w:val="22"/>
        </w:rPr>
        <w:t xml:space="preserve"> and ADR template.</w:t>
      </w:r>
    </w:p>
    <w:p>
      <w:pPr>
        <w:spacing w:after="80" w:line="300" w:lineRule="auto"/>
        <w:numPr>
          <w:ilvl w:val="0"/>
          <w:numId w:val="10"/>
        </w:numPr>
      </w:pPr>
      <w:r>
        <w:rPr>
          <w:rFonts w:ascii="Calibri" w:hAnsi="Calibri"/>
          <w:sz w:val="22"/>
        </w:rPr>
        <w:t xml:space="preserve">Add environment schema validation; no package may read environment variables directly outside </w:t>
      </w:r>
      <w:r>
        <w:rPr>
          <w:rFonts w:ascii="Consolas" w:hAnsi="Consolas"/>
          <w:color w:val="1F4D78"/>
          <w:sz w:val="20"/>
        </w:rPr>
        <w:t>packages/config</w:t>
      </w:r>
      <w:r>
        <w:rPr>
          <w:rFonts w:ascii="Calibri" w:hAnsi="Calibri"/>
          <w:sz w:val="22"/>
        </w:rPr>
        <w:t>.</w:t>
      </w:r>
    </w:p>
    <w:p>
      <w:pPr>
        <w:pStyle w:val="Heading2"/>
        <w:keepNext w:val="1"/>
      </w:pPr>
      <w:r>
        <w:rPr>
          <w:rFonts w:ascii="Calibri" w:hAnsi="Calibri"/>
          <w:b/>
          <w:color w:val="2E74B5"/>
          <w:sz w:val="26"/>
        </w:rPr>
        <w:t>WP0.2 Local dependencies</w:t>
      </w:r>
    </w:p>
    <w:p>
      <w:pPr>
        <w:spacing w:after="80" w:line="300" w:lineRule="auto"/>
        <w:numPr>
          <w:ilvl w:val="0"/>
          <w:numId w:val="10"/>
        </w:numPr>
      </w:pPr>
      <w:r>
        <w:rPr>
          <w:rFonts w:ascii="Calibri" w:hAnsi="Calibri"/>
          <w:sz w:val="22"/>
        </w:rPr>
        <w:t>Add Docker Compose for PostgreSQL, NATS JetStream, MinIO, OPA, and Temporal development services.</w:t>
      </w:r>
    </w:p>
    <w:p>
      <w:pPr>
        <w:spacing w:after="80" w:line="300" w:lineRule="auto"/>
        <w:numPr>
          <w:ilvl w:val="0"/>
          <w:numId w:val="10"/>
        </w:numPr>
      </w:pPr>
      <w:r>
        <w:rPr>
          <w:rFonts w:ascii="Calibri" w:hAnsi="Calibri"/>
          <w:sz w:val="22"/>
        </w:rPr>
        <w:t>Pin images by version or digest.</w:t>
      </w:r>
    </w:p>
    <w:p>
      <w:pPr>
        <w:spacing w:after="80" w:line="300" w:lineRule="auto"/>
        <w:numPr>
          <w:ilvl w:val="0"/>
          <w:numId w:val="10"/>
        </w:numPr>
      </w:pPr>
      <w:r>
        <w:rPr>
          <w:rFonts w:ascii="Calibri" w:hAnsi="Calibri"/>
          <w:sz w:val="22"/>
        </w:rPr>
        <w:t>Provide health checks and non-default development credentials through an uncommitted environment file.</w:t>
      </w:r>
    </w:p>
    <w:p>
      <w:pPr>
        <w:spacing w:after="80" w:line="300" w:lineRule="auto"/>
        <w:numPr>
          <w:ilvl w:val="0"/>
          <w:numId w:val="10"/>
        </w:numPr>
      </w:pPr>
      <w:r>
        <w:rPr>
          <w:rFonts w:ascii="Calibri" w:hAnsi="Calibri"/>
          <w:sz w:val="22"/>
        </w:rPr>
        <w:t xml:space="preserve">Add </w:t>
      </w:r>
      <w:r>
        <w:rPr>
          <w:rFonts w:ascii="Consolas" w:hAnsi="Consolas"/>
          <w:color w:val="1F4D78"/>
          <w:sz w:val="20"/>
        </w:rPr>
        <w:t>scripts/dev-up</w:t>
      </w:r>
      <w:r>
        <w:rPr>
          <w:rFonts w:ascii="Calibri" w:hAnsi="Calibri"/>
          <w:sz w:val="22"/>
        </w:rPr>
        <w:t xml:space="preserve">, </w:t>
      </w:r>
      <w:r>
        <w:rPr>
          <w:rFonts w:ascii="Consolas" w:hAnsi="Consolas"/>
          <w:color w:val="1F4D78"/>
          <w:sz w:val="20"/>
        </w:rPr>
        <w:t>dev-down</w:t>
      </w:r>
      <w:r>
        <w:rPr>
          <w:rFonts w:ascii="Calibri" w:hAnsi="Calibri"/>
          <w:sz w:val="22"/>
        </w:rPr>
        <w:t xml:space="preserve">, </w:t>
      </w:r>
      <w:r>
        <w:rPr>
          <w:rFonts w:ascii="Consolas" w:hAnsi="Consolas"/>
          <w:color w:val="1F4D78"/>
          <w:sz w:val="20"/>
        </w:rPr>
        <w:t>dev-reset</w:t>
      </w:r>
      <w:r>
        <w:rPr>
          <w:rFonts w:ascii="Calibri" w:hAnsi="Calibri"/>
          <w:sz w:val="22"/>
        </w:rPr>
        <w:t xml:space="preserve">, and </w:t>
      </w:r>
      <w:r>
        <w:rPr>
          <w:rFonts w:ascii="Consolas" w:hAnsi="Consolas"/>
          <w:color w:val="1F4D78"/>
          <w:sz w:val="20"/>
        </w:rPr>
        <w:t>dev-health</w:t>
      </w:r>
      <w:r>
        <w:rPr>
          <w:rFonts w:ascii="Calibri" w:hAnsi="Calibri"/>
          <w:sz w:val="22"/>
        </w:rPr>
        <w:t xml:space="preserve"> as safe package scripts; destructive reset must require explicit confirmation.</w:t>
      </w:r>
    </w:p>
    <w:p>
      <w:pPr>
        <w:pStyle w:val="Heading2"/>
        <w:keepNext w:val="1"/>
      </w:pPr>
      <w:r>
        <w:rPr>
          <w:rFonts w:ascii="Calibri" w:hAnsi="Calibri"/>
          <w:b/>
          <w:color w:val="2E74B5"/>
          <w:sz w:val="26"/>
        </w:rPr>
        <w:t>WP0.3 CI baseline</w:t>
      </w:r>
    </w:p>
    <w:p>
      <w:pPr>
        <w:spacing w:after="80" w:line="300" w:lineRule="auto"/>
        <w:numPr>
          <w:ilvl w:val="0"/>
          <w:numId w:val="10"/>
        </w:numPr>
      </w:pPr>
      <w:r>
        <w:rPr>
          <w:rFonts w:ascii="Calibri" w:hAnsi="Calibri"/>
          <w:sz w:val="22"/>
        </w:rPr>
        <w:t>Install with frozen lockfile.</w:t>
      </w:r>
    </w:p>
    <w:p>
      <w:pPr>
        <w:spacing w:after="80" w:line="300" w:lineRule="auto"/>
        <w:numPr>
          <w:ilvl w:val="0"/>
          <w:numId w:val="10"/>
        </w:numPr>
      </w:pPr>
      <w:r>
        <w:rPr>
          <w:rFonts w:ascii="Calibri" w:hAnsi="Calibri"/>
          <w:sz w:val="22"/>
        </w:rPr>
        <w:t>Run format check, lint, typecheck, unit tests, dependency-boundary audit, secret scan, schema drift, and build.</w:t>
      </w:r>
    </w:p>
    <w:p>
      <w:pPr>
        <w:spacing w:after="80" w:line="300" w:lineRule="auto"/>
        <w:numPr>
          <w:ilvl w:val="0"/>
          <w:numId w:val="10"/>
        </w:numPr>
      </w:pPr>
      <w:r>
        <w:rPr>
          <w:rFonts w:ascii="Calibri" w:hAnsi="Calibri"/>
          <w:sz w:val="22"/>
        </w:rPr>
        <w:t>Cache dependencies without caching generated secrets or test databases.</w:t>
      </w:r>
    </w:p>
    <w:p>
      <w:pPr>
        <w:spacing w:after="80" w:line="300" w:lineRule="auto"/>
        <w:numPr>
          <w:ilvl w:val="0"/>
          <w:numId w:val="10"/>
        </w:numPr>
      </w:pPr>
      <w:r>
        <w:rPr>
          <w:rFonts w:ascii="Calibri" w:hAnsi="Calibri"/>
          <w:sz w:val="22"/>
        </w:rPr>
        <w:t>Upload test reports and coverage.</w:t>
      </w:r>
    </w:p>
    <w:p>
      <w:pPr>
        <w:pStyle w:val="Heading2"/>
        <w:keepNext w:val="1"/>
      </w:pPr>
      <w:r>
        <w:rPr>
          <w:rFonts w:ascii="Calibri" w:hAnsi="Calibri"/>
          <w:b/>
          <w:color w:val="2E74B5"/>
          <w:sz w:val="26"/>
        </w:rPr>
        <w:t>WP0.4 Compatibility spikes</w:t>
      </w:r>
    </w:p>
    <w:p>
      <w:pPr>
        <w:spacing w:after="80" w:line="300" w:lineRule="auto"/>
        <w:numPr>
          <w:ilvl w:val="0"/>
          <w:numId w:val="10"/>
        </w:numPr>
      </w:pPr>
      <w:r>
        <w:rPr>
          <w:rFonts w:ascii="Calibri" w:hAnsi="Calibri"/>
          <w:sz w:val="22"/>
        </w:rPr>
        <w:t>Prove Cline SDK startup, tool callback, structured output, event stream, cancellation, and teardown behind a temporary adapter test.</w:t>
      </w:r>
    </w:p>
    <w:p>
      <w:pPr>
        <w:spacing w:after="80" w:line="300" w:lineRule="auto"/>
        <w:numPr>
          <w:ilvl w:val="0"/>
          <w:numId w:val="10"/>
        </w:numPr>
      </w:pPr>
      <w:r>
        <w:rPr>
          <w:rFonts w:ascii="Calibri" w:hAnsi="Calibri"/>
          <w:sz w:val="22"/>
        </w:rPr>
        <w:t>Prove Temporal TypeScript workflow/activity separation and replay constraints.</w:t>
      </w:r>
    </w:p>
    <w:p>
      <w:pPr>
        <w:spacing w:after="80" w:line="300" w:lineRule="auto"/>
        <w:numPr>
          <w:ilvl w:val="0"/>
          <w:numId w:val="10"/>
        </w:numPr>
      </w:pPr>
      <w:r>
        <w:rPr>
          <w:rFonts w:ascii="Calibri" w:hAnsi="Calibri"/>
          <w:sz w:val="22"/>
        </w:rPr>
        <w:t>Prove PostgreSQL outbox publisher to JetStream with duplicate delivery.</w:t>
      </w:r>
    </w:p>
    <w:p>
      <w:pPr>
        <w:spacing w:after="80" w:line="300" w:lineRule="auto"/>
        <w:numPr>
          <w:ilvl w:val="0"/>
          <w:numId w:val="10"/>
        </w:numPr>
      </w:pPr>
      <w:r>
        <w:rPr>
          <w:rFonts w:ascii="Calibri" w:hAnsi="Calibri"/>
          <w:sz w:val="22"/>
        </w:rPr>
        <w:t>Prove OPA decision input/output and signed or versioned bundle loading.</w:t>
      </w:r>
    </w:p>
    <w:p>
      <w:pPr>
        <w:spacing w:after="120" w:line="300" w:lineRule="auto"/>
      </w:pPr>
      <w:r>
        <w:rPr>
          <w:rFonts w:ascii="Calibri" w:hAnsi="Calibri"/>
          <w:b/>
          <w:sz w:val="22"/>
        </w:rPr>
        <w:t>Exit gate:</w:t>
      </w:r>
      <w:r>
        <w:rPr>
          <w:rFonts w:ascii="Calibri" w:hAnsi="Calibri"/>
          <w:sz w:val="22"/>
        </w:rPr>
        <w:t xml:space="preserve"> ADR-0001 through ADR-0010 approved; one-command local health check passes; CI is green; dependency and container versions are pinned; no product workflow code exists yet.</w:t>
      </w:r>
    </w:p>
    <w:p>
      <w:r>
        <w:br w:type="page"/>
      </w:r>
    </w:p>
    <w:p>
      <w:pPr>
        <w:pStyle w:val="Heading1"/>
        <w:keepNext w:val="1"/>
      </w:pPr>
      <w:r>
        <w:rPr>
          <w:rFonts w:ascii="Calibri" w:hAnsi="Calibri"/>
          <w:b/>
          <w:color w:val="2E74B5"/>
          <w:sz w:val="32"/>
        </w:rPr>
        <w:t>Phase 1 — Runtime Contracts</w:t>
      </w:r>
    </w:p>
    <w:p>
      <w:pPr>
        <w:pStyle w:val="Heading2"/>
        <w:keepNext w:val="1"/>
      </w:pPr>
      <w:r>
        <w:rPr>
          <w:rFonts w:ascii="Calibri" w:hAnsi="Calibri"/>
          <w:b/>
          <w:color w:val="2E74B5"/>
          <w:sz w:val="26"/>
        </w:rPr>
        <w:t>WP1.1 Foundational primitives</w:t>
      </w:r>
    </w:p>
    <w:p>
      <w:pPr>
        <w:spacing w:after="120" w:line="300" w:lineRule="auto"/>
      </w:pPr>
      <w:r>
        <w:rPr>
          <w:rFonts w:ascii="Calibri" w:hAnsi="Calibri"/>
          <w:sz w:val="22"/>
        </w:rPr>
        <w:t>Implement typed IDs, actors, tenant/workspace scope, timestamps, money, hashes, resource selectors, stable errors, and schema versioning.</w:t>
      </w:r>
    </w:p>
    <w:p>
      <w:pPr>
        <w:pStyle w:val="Heading2"/>
        <w:keepNext w:val="1"/>
      </w:pPr>
      <w:r>
        <w:rPr>
          <w:rFonts w:ascii="Calibri" w:hAnsi="Calibri"/>
          <w:b/>
          <w:color w:val="2E74B5"/>
          <w:sz w:val="26"/>
        </w:rPr>
        <w:t>WP1.2 Aggregate contracts</w:t>
      </w:r>
    </w:p>
    <w:p>
      <w:pPr>
        <w:spacing w:after="120" w:line="300" w:lineRule="auto"/>
      </w:pPr>
      <w:r>
        <w:rPr>
          <w:rFonts w:ascii="Calibri" w:hAnsi="Calibri"/>
          <w:sz w:val="22"/>
        </w:rPr>
        <w:t>Implement command, workflow, plan, invocation, report, artifact, event, approval, budget, authority, agent registration, and projection schemas.</w:t>
      </w:r>
    </w:p>
    <w:p>
      <w:pPr>
        <w:pStyle w:val="Heading2"/>
        <w:keepNext w:val="1"/>
      </w:pPr>
      <w:r>
        <w:rPr>
          <w:rFonts w:ascii="Calibri" w:hAnsi="Calibri"/>
          <w:b/>
          <w:color w:val="2E74B5"/>
          <w:sz w:val="26"/>
        </w:rPr>
        <w:t>WP1.3 State machines and compatibility</w:t>
      </w:r>
    </w:p>
    <w:p>
      <w:pPr>
        <w:spacing w:after="120" w:line="300" w:lineRule="auto"/>
      </w:pPr>
      <w:r>
        <w:rPr>
          <w:rFonts w:ascii="Calibri" w:hAnsi="Calibri"/>
          <w:sz w:val="22"/>
        </w:rPr>
        <w:t>Implement pure transition functions, valid/invalid fixtures, JSON Schema generation, OpenAPI components, compatibility checker, and schema catalog documentation.</w:t>
      </w:r>
    </w:p>
    <w:p>
      <w:pPr>
        <w:pStyle w:val="Heading2"/>
        <w:keepNext w:val="1"/>
      </w:pPr>
      <w:r>
        <w:rPr>
          <w:rFonts w:ascii="Calibri" w:hAnsi="Calibri"/>
          <w:b/>
          <w:color w:val="2E74B5"/>
          <w:sz w:val="26"/>
        </w:rPr>
        <w:t>WP1.4 Invariant testkit</w:t>
      </w:r>
    </w:p>
    <w:p>
      <w:pPr>
        <w:spacing w:after="120" w:line="300" w:lineRule="auto"/>
      </w:pPr>
      <w:r>
        <w:rPr>
          <w:rFonts w:ascii="Calibri" w:hAnsi="Calibri"/>
          <w:sz w:val="22"/>
        </w:rPr>
        <w:t>Create reusable invariant assertions, fake clock, deterministic IDs, actor/tenant fixtures, fake adapters, and report/artifact builders.</w:t>
      </w:r>
    </w:p>
    <w:p>
      <w:pPr>
        <w:spacing w:after="120" w:line="300" w:lineRule="auto"/>
      </w:pPr>
      <w:r>
        <w:rPr>
          <w:rFonts w:ascii="Calibri" w:hAnsi="Calibri"/>
          <w:b/>
          <w:sz w:val="22"/>
        </w:rPr>
        <w:t>Exit gate:</w:t>
      </w:r>
      <w:r>
        <w:rPr>
          <w:rFonts w:ascii="Calibri" w:hAnsi="Calibri"/>
          <w:sz w:val="22"/>
        </w:rPr>
        <w:t xml:space="preserve"> contracts build without infrastructure; all state edges tested; generated schemas are deterministic; no breaking contract drift; the 20 invariant tests exist even if later phases initially skip infrastructure-dependent cases.</w:t>
      </w:r>
    </w:p>
    <w:p>
      <w:r>
        <w:br w:type="page"/>
      </w:r>
    </w:p>
    <w:p>
      <w:pPr>
        <w:pStyle w:val="Heading1"/>
        <w:keepNext w:val="1"/>
      </w:pPr>
      <w:r>
        <w:rPr>
          <w:rFonts w:ascii="Calibri" w:hAnsi="Calibri"/>
          <w:b/>
          <w:color w:val="2E74B5"/>
          <w:sz w:val="32"/>
        </w:rPr>
        <w:t>Phase 2 — State, Events, Artifacts, and Projections</w:t>
      </w:r>
    </w:p>
    <w:p>
      <w:pPr>
        <w:pStyle w:val="Heading2"/>
        <w:keepNext w:val="1"/>
      </w:pPr>
      <w:r>
        <w:rPr>
          <w:rFonts w:ascii="Calibri" w:hAnsi="Calibri"/>
          <w:b/>
          <w:color w:val="2E74B5"/>
          <w:sz w:val="26"/>
        </w:rPr>
        <w:t>WP2.1 Database and repositories</w:t>
      </w:r>
    </w:p>
    <w:p>
      <w:pPr>
        <w:spacing w:after="120" w:line="300" w:lineRule="auto"/>
      </w:pPr>
      <w:r>
        <w:rPr>
          <w:rFonts w:ascii="Calibri" w:hAnsi="Calibri"/>
          <w:sz w:val="22"/>
        </w:rPr>
        <w:t>Create migrations and typed repositories. All aggregate updates use optimistic concurrency and transactions. Add PostgreSQL and SQLite contract suites.</w:t>
      </w:r>
    </w:p>
    <w:p>
      <w:pPr>
        <w:pStyle w:val="Heading2"/>
        <w:keepNext w:val="1"/>
      </w:pPr>
      <w:r>
        <w:rPr>
          <w:rFonts w:ascii="Calibri" w:hAnsi="Calibri"/>
          <w:b/>
          <w:color w:val="2E74B5"/>
          <w:sz w:val="26"/>
        </w:rPr>
        <w:t>WP2.2 Command service and event log</w:t>
      </w:r>
    </w:p>
    <w:p>
      <w:pPr>
        <w:spacing w:after="120" w:line="300" w:lineRule="auto"/>
      </w:pPr>
      <w:r>
        <w:rPr>
          <w:rFonts w:ascii="Calibri" w:hAnsi="Calibri"/>
          <w:sz w:val="22"/>
        </w:rPr>
        <w:t>Implement command idempotency, aggregate version checks, event append, audit append, and outbox write in one transaction.</w:t>
      </w:r>
    </w:p>
    <w:p>
      <w:pPr>
        <w:pStyle w:val="Heading2"/>
        <w:keepNext w:val="1"/>
      </w:pPr>
      <w:r>
        <w:rPr>
          <w:rFonts w:ascii="Calibri" w:hAnsi="Calibri"/>
          <w:b/>
          <w:color w:val="2E74B5"/>
          <w:sz w:val="26"/>
        </w:rPr>
        <w:t>WP2.3 Artifact registry</w:t>
      </w:r>
    </w:p>
    <w:p>
      <w:pPr>
        <w:spacing w:after="120" w:line="300" w:lineRule="auto"/>
      </w:pPr>
      <w:r>
        <w:rPr>
          <w:rFonts w:ascii="Calibri" w:hAnsi="Calibri"/>
          <w:sz w:val="22"/>
        </w:rPr>
        <w:t>Implement upload intent, staging, hash verification, schema validation, lineage, immutable publication, version conflicts, human precedence, and lifecycle invalidation.</w:t>
      </w:r>
    </w:p>
    <w:p>
      <w:pPr>
        <w:pStyle w:val="Heading2"/>
        <w:keepNext w:val="1"/>
      </w:pPr>
      <w:r>
        <w:rPr>
          <w:rFonts w:ascii="Calibri" w:hAnsi="Calibri"/>
          <w:b/>
          <w:color w:val="2E74B5"/>
          <w:sz w:val="26"/>
        </w:rPr>
        <w:t>WP2.4 Outbox and event distribution</w:t>
      </w:r>
    </w:p>
    <w:p>
      <w:pPr>
        <w:spacing w:after="120" w:line="300" w:lineRule="auto"/>
      </w:pPr>
      <w:r>
        <w:rPr>
          <w:rFonts w:ascii="Calibri" w:hAnsi="Calibri"/>
          <w:sz w:val="22"/>
        </w:rPr>
        <w:t>Implement leasing, retry, dead-letter state, JetStream publishing, consumer deduplication, and monitoring. Do not delete authoritative events after publication.</w:t>
      </w:r>
    </w:p>
    <w:p>
      <w:pPr>
        <w:pStyle w:val="Heading2"/>
        <w:keepNext w:val="1"/>
      </w:pPr>
      <w:r>
        <w:rPr>
          <w:rFonts w:ascii="Calibri" w:hAnsi="Calibri"/>
          <w:b/>
          <w:color w:val="2E74B5"/>
          <w:sz w:val="26"/>
        </w:rPr>
        <w:t>WP2.5 Projections</w:t>
      </w:r>
    </w:p>
    <w:p>
      <w:pPr>
        <w:spacing w:after="120" w:line="300" w:lineRule="auto"/>
      </w:pPr>
      <w:r>
        <w:rPr>
          <w:rFonts w:ascii="Calibri" w:hAnsi="Calibri"/>
          <w:sz w:val="22"/>
        </w:rPr>
        <w:t>Implement workflow, job, compute, artifact, cost, approval, and audit projections plus rebuild and cursor APIs.</w:t>
      </w:r>
    </w:p>
    <w:p>
      <w:pPr>
        <w:spacing w:after="120" w:line="300" w:lineRule="auto"/>
      </w:pPr>
      <w:r>
        <w:rPr>
          <w:rFonts w:ascii="Calibri" w:hAnsi="Calibri"/>
          <w:b/>
          <w:sz w:val="22"/>
        </w:rPr>
        <w:t>Exit gate:</w:t>
      </w:r>
      <w:r>
        <w:rPr>
          <w:rFonts w:ascii="Calibri" w:hAnsi="Calibri"/>
          <w:sz w:val="22"/>
        </w:rPr>
        <w:t xml:space="preserve"> duplicate and concurrent command tests pass; artifact hash and lineage checks pass; forced outbox duplicate is harmless; full projection replay matches live projection; PostgreSQL and SQLite expose compatible behavior.</w:t>
      </w:r>
    </w:p>
    <w:p>
      <w:r>
        <w:br w:type="page"/>
      </w:r>
    </w:p>
    <w:p>
      <w:pPr>
        <w:pStyle w:val="Heading1"/>
        <w:keepNext w:val="1"/>
      </w:pPr>
      <w:r>
        <w:rPr>
          <w:rFonts w:ascii="Calibri" w:hAnsi="Calibri"/>
          <w:b/>
          <w:color w:val="2E74B5"/>
          <w:sz w:val="32"/>
        </w:rPr>
        <w:t>Phase 3 — Policy, Authority, Approval, Budget, and Audit</w:t>
      </w:r>
    </w:p>
    <w:p>
      <w:pPr>
        <w:pStyle w:val="Heading2"/>
        <w:keepNext w:val="1"/>
      </w:pPr>
      <w:r>
        <w:rPr>
          <w:rFonts w:ascii="Calibri" w:hAnsi="Calibri"/>
          <w:b/>
          <w:color w:val="2E74B5"/>
          <w:sz w:val="26"/>
        </w:rPr>
        <w:t>WP3.1 Identity and authority</w:t>
      </w:r>
    </w:p>
    <w:p>
      <w:pPr>
        <w:spacing w:after="120" w:line="300" w:lineRule="auto"/>
      </w:pPr>
      <w:r>
        <w:rPr>
          <w:rFonts w:ascii="Calibri" w:hAnsi="Calibri"/>
          <w:sz w:val="22"/>
        </w:rPr>
        <w:t>Implement development identity, authentication port, tenant membership, signed/server-side authority envelopes, resource selectors, expiry, and revocation.</w:t>
      </w:r>
    </w:p>
    <w:p>
      <w:pPr>
        <w:pStyle w:val="Heading2"/>
        <w:keepNext w:val="1"/>
      </w:pPr>
      <w:r>
        <w:rPr>
          <w:rFonts w:ascii="Calibri" w:hAnsi="Calibri"/>
          <w:b/>
          <w:color w:val="2E74B5"/>
          <w:sz w:val="26"/>
        </w:rPr>
        <w:t>WP3.2 Policy engine</w:t>
      </w:r>
    </w:p>
    <w:p>
      <w:pPr>
        <w:spacing w:after="120" w:line="300" w:lineRule="auto"/>
      </w:pPr>
      <w:r>
        <w:rPr>
          <w:rFonts w:ascii="Calibri" w:hAnsi="Calibri"/>
          <w:sz w:val="22"/>
        </w:rPr>
        <w:t>Implement OPA adapter, policy input schemas, bundle versioning, decision caching rules, and fail-closed behavior. Provide policies for tier invocation, tool operations, data classification, connector scope, spend, model promotion, and deployment.</w:t>
      </w:r>
    </w:p>
    <w:p>
      <w:pPr>
        <w:pStyle w:val="Heading2"/>
        <w:keepNext w:val="1"/>
      </w:pPr>
      <w:r>
        <w:rPr>
          <w:rFonts w:ascii="Calibri" w:hAnsi="Calibri"/>
          <w:b/>
          <w:color w:val="2E74B5"/>
          <w:sz w:val="26"/>
        </w:rPr>
        <w:t>WP3.3 Approval service</w:t>
      </w:r>
    </w:p>
    <w:p>
      <w:pPr>
        <w:spacing w:after="120" w:line="300" w:lineRule="auto"/>
      </w:pPr>
      <w:r>
        <w:rPr>
          <w:rFonts w:ascii="Calibri" w:hAnsi="Calibri"/>
          <w:sz w:val="22"/>
        </w:rPr>
        <w:t>Implement action digest, approver policy, expiry, decision history, invalidation, revocation, and APIs.</w:t>
      </w:r>
    </w:p>
    <w:p>
      <w:pPr>
        <w:pStyle w:val="Heading2"/>
        <w:keepNext w:val="1"/>
      </w:pPr>
      <w:r>
        <w:rPr>
          <w:rFonts w:ascii="Calibri" w:hAnsi="Calibri"/>
          <w:b/>
          <w:color w:val="2E74B5"/>
          <w:sz w:val="26"/>
        </w:rPr>
        <w:t>WP3.4 FinOps ledger</w:t>
      </w:r>
    </w:p>
    <w:p>
      <w:pPr>
        <w:spacing w:after="120" w:line="300" w:lineRule="auto"/>
      </w:pPr>
      <w:r>
        <w:rPr>
          <w:rFonts w:ascii="Calibri" w:hAnsi="Calibri"/>
          <w:sz w:val="22"/>
        </w:rPr>
        <w:t>Implement budget accounts, reservation transaction, usage observation, reconciliation, expiry, cost categories, and threshold events.</w:t>
      </w:r>
    </w:p>
    <w:p>
      <w:pPr>
        <w:pStyle w:val="Heading2"/>
        <w:keepNext w:val="1"/>
      </w:pPr>
      <w:r>
        <w:rPr>
          <w:rFonts w:ascii="Calibri" w:hAnsi="Calibri"/>
          <w:b/>
          <w:color w:val="2E74B5"/>
          <w:sz w:val="26"/>
        </w:rPr>
        <w:t>WP3.5 Tool broker and audit</w:t>
      </w:r>
    </w:p>
    <w:p>
      <w:pPr>
        <w:spacing w:after="120" w:line="300" w:lineRule="auto"/>
      </w:pPr>
      <w:r>
        <w:rPr>
          <w:rFonts w:ascii="Calibri" w:hAnsi="Calibri"/>
          <w:sz w:val="22"/>
        </w:rPr>
        <w:t>Implement broker pipeline, credential-handle port, output redaction, consequential action classification, and audit completeness checker.</w:t>
      </w:r>
    </w:p>
    <w:p>
      <w:pPr>
        <w:spacing w:after="120" w:line="300" w:lineRule="auto"/>
      </w:pPr>
      <w:r>
        <w:rPr>
          <w:rFonts w:ascii="Calibri" w:hAnsi="Calibri"/>
          <w:b/>
          <w:sz w:val="22"/>
        </w:rPr>
        <w:t>Exit gate:</w:t>
      </w:r>
      <w:r>
        <w:rPr>
          <w:rFonts w:ascii="Calibri" w:hAnsi="Calibri"/>
          <w:sz w:val="22"/>
        </w:rPr>
        <w:t xml:space="preserve"> deny-by-default integration suite passes; budget cannot overrun under concurrency; approval mutation invalidates; commit-time reauthorization works; secret canary values are absent from all captured outputs.</w:t>
      </w:r>
    </w:p>
    <w:p>
      <w:r>
        <w:br w:type="page"/>
      </w:r>
    </w:p>
    <w:p>
      <w:pPr>
        <w:pStyle w:val="Heading1"/>
        <w:keepNext w:val="1"/>
      </w:pPr>
      <w:r>
        <w:rPr>
          <w:rFonts w:ascii="Calibri" w:hAnsi="Calibri"/>
          <w:b/>
          <w:color w:val="2E74B5"/>
          <w:sz w:val="32"/>
        </w:rPr>
        <w:t>Phase 4 — Harness Core and Invocation Enforcement</w:t>
      </w:r>
    </w:p>
    <w:p>
      <w:pPr>
        <w:pStyle w:val="Heading2"/>
        <w:keepNext w:val="1"/>
      </w:pPr>
      <w:r>
        <w:rPr>
          <w:rFonts w:ascii="Calibri" w:hAnsi="Calibri"/>
          <w:b/>
          <w:color w:val="2E74B5"/>
          <w:sz w:val="26"/>
        </w:rPr>
        <w:t>WP4.1 Harness factory and lifecycle</w:t>
      </w:r>
    </w:p>
    <w:p>
      <w:pPr>
        <w:spacing w:after="120" w:line="300" w:lineRule="auto"/>
      </w:pPr>
      <w:r>
        <w:rPr>
          <w:rFonts w:ascii="Calibri" w:hAnsi="Calibri"/>
          <w:sz w:val="22"/>
        </w:rPr>
        <w:t>Implement definitions, factory, runtime services, hooks, context blocks, model router port, retry/acceptance policies, cancellation, and checkpoints.</w:t>
      </w:r>
    </w:p>
    <w:p>
      <w:pPr>
        <w:pStyle w:val="Heading2"/>
        <w:keepNext w:val="1"/>
      </w:pPr>
      <w:r>
        <w:rPr>
          <w:rFonts w:ascii="Calibri" w:hAnsi="Calibri"/>
          <w:b/>
          <w:color w:val="2E74B5"/>
          <w:sz w:val="26"/>
        </w:rPr>
        <w:t>WP4.2 Cline runtime adapter</w:t>
      </w:r>
    </w:p>
    <w:p>
      <w:pPr>
        <w:spacing w:after="120" w:line="300" w:lineRule="auto"/>
      </w:pPr>
      <w:r>
        <w:rPr>
          <w:rFonts w:ascii="Calibri" w:hAnsi="Calibri"/>
          <w:sz w:val="22"/>
        </w:rPr>
        <w:t>Replace the Phase 0 spike with production adapter, event translation, error mapping, cancellation, tool-broker callback, and contract tests.</w:t>
      </w:r>
    </w:p>
    <w:p>
      <w:pPr>
        <w:pStyle w:val="Heading2"/>
        <w:keepNext w:val="1"/>
      </w:pPr>
      <w:r>
        <w:rPr>
          <w:rFonts w:ascii="Calibri" w:hAnsi="Calibri"/>
          <w:b/>
          <w:color w:val="2E74B5"/>
          <w:sz w:val="26"/>
        </w:rPr>
        <w:t>WP4.3 Report validator</w:t>
      </w:r>
    </w:p>
    <w:p>
      <w:pPr>
        <w:spacing w:after="120" w:line="300" w:lineRule="auto"/>
      </w:pPr>
      <w:r>
        <w:rPr>
          <w:rFonts w:ascii="Calibri" w:hAnsi="Calibri"/>
          <w:sz w:val="22"/>
        </w:rPr>
        <w:t>Implement structured parse, schema, artifact, child, decision, state, cost, and acceptance checks.</w:t>
      </w:r>
    </w:p>
    <w:p>
      <w:pPr>
        <w:pStyle w:val="Heading2"/>
        <w:keepNext w:val="1"/>
      </w:pPr>
      <w:r>
        <w:rPr>
          <w:rFonts w:ascii="Calibri" w:hAnsi="Calibri"/>
          <w:b/>
          <w:color w:val="2E74B5"/>
          <w:sz w:val="26"/>
        </w:rPr>
        <w:t>WP4.4 Invocation service and agent registry</w:t>
      </w:r>
    </w:p>
    <w:p>
      <w:pPr>
        <w:spacing w:after="120" w:line="300" w:lineRule="auto"/>
      </w:pPr>
      <w:r>
        <w:rPr>
          <w:rFonts w:ascii="Calibri" w:hAnsi="Calibri"/>
          <w:sz w:val="22"/>
        </w:rPr>
        <w:t>Implement registry versions, status, compatibility, permitted children, tier enforcement, rollout, disable, and exact harness-version recording.</w:t>
      </w:r>
    </w:p>
    <w:p>
      <w:pPr>
        <w:pStyle w:val="Heading2"/>
        <w:keepNext w:val="1"/>
      </w:pPr>
      <w:r>
        <w:rPr>
          <w:rFonts w:ascii="Calibri" w:hAnsi="Calibri"/>
          <w:b/>
          <w:color w:val="2E74B5"/>
          <w:sz w:val="26"/>
        </w:rPr>
        <w:t>WP4.5 Tier 2 base harnesses</w:t>
      </w:r>
    </w:p>
    <w:p>
      <w:pPr>
        <w:spacing w:after="120" w:line="300" w:lineRule="auto"/>
      </w:pPr>
      <w:r>
        <w:rPr>
          <w:rFonts w:ascii="Calibri" w:hAnsi="Calibri"/>
          <w:sz w:val="22"/>
        </w:rPr>
        <w:t>Implement deterministic, plugin-backed, and coding harness shells with sandbox and acceptance contracts.</w:t>
      </w:r>
    </w:p>
    <w:p>
      <w:pPr>
        <w:spacing w:after="120" w:line="300" w:lineRule="auto"/>
      </w:pPr>
      <w:r>
        <w:rPr>
          <w:rFonts w:ascii="Calibri" w:hAnsi="Calibri"/>
          <w:b/>
          <w:sz w:val="22"/>
        </w:rPr>
        <w:t>Exit gate:</w:t>
      </w:r>
      <w:r>
        <w:rPr>
          <w:rFonts w:ascii="Calibri" w:hAnsi="Calibri"/>
          <w:sz w:val="22"/>
        </w:rPr>
        <w:t xml:space="preserve"> all valid hierarchy paths succeed and invalid paths fail; malformed or fabricated reports are rejected; disabled harnesses cannot start; Cline SDK is imported only by the adapter package; deterministic tasks execute without an LLM.</w:t>
      </w:r>
    </w:p>
    <w:p>
      <w:r>
        <w:br w:type="page"/>
      </w:r>
    </w:p>
    <w:p>
      <w:pPr>
        <w:pStyle w:val="Heading1"/>
        <w:keepNext w:val="1"/>
      </w:pPr>
      <w:r>
        <w:rPr>
          <w:rFonts w:ascii="Calibri" w:hAnsi="Calibri"/>
          <w:b/>
          <w:color w:val="2E74B5"/>
          <w:sz w:val="32"/>
        </w:rPr>
        <w:t>Phase 5 — Local Vertical Slice</w:t>
      </w:r>
    </w:p>
    <w:p>
      <w:pPr>
        <w:spacing w:after="120" w:line="300" w:lineRule="auto"/>
      </w:pPr>
      <w:r>
        <w:rPr>
          <w:rFonts w:ascii="Calibri" w:hAnsi="Calibri"/>
          <w:b/>
          <w:sz w:val="22"/>
        </w:rPr>
        <w:t>Target:</w:t>
      </w:r>
      <w:r>
        <w:rPr>
          <w:rFonts w:ascii="Calibri" w:hAnsi="Calibri"/>
          <w:sz w:val="22"/>
        </w:rPr>
        <w:t xml:space="preserve"> </w:t>
      </w:r>
      <w:r>
        <w:rPr>
          <w:rFonts w:ascii="Consolas" w:hAnsi="Consolas"/>
          <w:color w:val="1F4D78"/>
          <w:sz w:val="20"/>
        </w:rPr>
        <w:t>Dataset → Governance check → validation → training strategy/config → local smoke run → normalized report</w:t>
      </w:r>
      <w:r>
        <w:rPr>
          <w:rFonts w:ascii="Calibri" w:hAnsi="Calibri"/>
          <w:sz w:val="22"/>
        </w:rPr>
        <w:t>.</w:t>
      </w:r>
    </w:p>
    <w:p>
      <w:pPr>
        <w:pStyle w:val="Heading2"/>
        <w:keepNext w:val="1"/>
      </w:pPr>
      <w:r>
        <w:rPr>
          <w:rFonts w:ascii="Calibri" w:hAnsi="Calibri"/>
          <w:b/>
          <w:color w:val="2E74B5"/>
          <w:sz w:val="26"/>
        </w:rPr>
        <w:t>WP5.1 Tier 0 minimum orchestrator</w:t>
      </w:r>
    </w:p>
    <w:p>
      <w:pPr>
        <w:spacing w:after="120" w:line="300" w:lineRule="auto"/>
      </w:pPr>
      <w:r>
        <w:rPr>
          <w:rFonts w:ascii="Calibri" w:hAnsi="Calibri"/>
          <w:sz w:val="22"/>
        </w:rPr>
        <w:t>Implement plan schema, deterministic plan validator, specialist routing, dependency scheduling, aggregation, and user status. Use constrained fixtures before enabling model-generated planning.</w:t>
      </w:r>
    </w:p>
    <w:p>
      <w:pPr>
        <w:pStyle w:val="Heading2"/>
        <w:keepNext w:val="1"/>
      </w:pPr>
      <w:r>
        <w:rPr>
          <w:rFonts w:ascii="Calibri" w:hAnsi="Calibri"/>
          <w:b/>
          <w:color w:val="2E74B5"/>
          <w:sz w:val="26"/>
        </w:rPr>
        <w:t>WP5.2 Governance minimum specialist</w:t>
      </w:r>
    </w:p>
    <w:p>
      <w:pPr>
        <w:spacing w:after="120" w:line="300" w:lineRule="auto"/>
      </w:pPr>
      <w:r>
        <w:rPr>
          <w:rFonts w:ascii="Calibri" w:hAnsi="Calibri"/>
          <w:sz w:val="22"/>
        </w:rPr>
        <w:t>Implement local policy decision, PII scan task interface, and retention constraints sufficient for the sample workflow.</w:t>
      </w:r>
    </w:p>
    <w:p>
      <w:pPr>
        <w:pStyle w:val="Heading2"/>
        <w:keepNext w:val="1"/>
      </w:pPr>
      <w:r>
        <w:rPr>
          <w:rFonts w:ascii="Calibri" w:hAnsi="Calibri"/>
          <w:b/>
          <w:color w:val="2E74B5"/>
          <w:sz w:val="26"/>
        </w:rPr>
        <w:t>WP5.3 Data Engineer specialist</w:t>
      </w:r>
    </w:p>
    <w:p>
      <w:pPr>
        <w:spacing w:after="120" w:line="300" w:lineRule="auto"/>
      </w:pPr>
      <w:r>
        <w:rPr>
          <w:rFonts w:ascii="Calibri" w:hAnsi="Calibri"/>
          <w:sz w:val="22"/>
        </w:rPr>
        <w:t xml:space="preserve">Implement local source resolution, profiling, schema validation, deduplication, leakage detection, split generation, and </w:t>
      </w:r>
      <w:r>
        <w:rPr>
          <w:rFonts w:ascii="Consolas" w:hAnsi="Consolas"/>
          <w:color w:val="1F4D78"/>
          <w:sz w:val="20"/>
        </w:rPr>
        <w:t>ValidatedDataset</w:t>
      </w:r>
      <w:r>
        <w:rPr>
          <w:rFonts w:ascii="Calibri" w:hAnsi="Calibri"/>
          <w:sz w:val="22"/>
        </w:rPr>
        <w:t xml:space="preserve"> publication.</w:t>
      </w:r>
    </w:p>
    <w:p>
      <w:pPr>
        <w:pStyle w:val="Heading2"/>
        <w:keepNext w:val="1"/>
      </w:pPr>
      <w:r>
        <w:rPr>
          <w:rFonts w:ascii="Calibri" w:hAnsi="Calibri"/>
          <w:b/>
          <w:color w:val="2E74B5"/>
          <w:sz w:val="26"/>
        </w:rPr>
        <w:t>WP5.4 ML Engineer specialist</w:t>
      </w:r>
    </w:p>
    <w:p>
      <w:pPr>
        <w:spacing w:after="120" w:line="300" w:lineRule="auto"/>
      </w:pPr>
      <w:r>
        <w:rPr>
          <w:rFonts w:ascii="Calibri" w:hAnsi="Calibri"/>
          <w:sz w:val="22"/>
        </w:rPr>
        <w:t>Implement training strategy and configuration artifacts, coding task for a minimal trainer, config validation, and a bounded smoke run.</w:t>
      </w:r>
    </w:p>
    <w:p>
      <w:pPr>
        <w:pStyle w:val="Heading2"/>
        <w:keepNext w:val="1"/>
      </w:pPr>
      <w:r>
        <w:rPr>
          <w:rFonts w:ascii="Calibri" w:hAnsi="Calibri"/>
          <w:b/>
          <w:color w:val="2E74B5"/>
          <w:sz w:val="26"/>
        </w:rPr>
        <w:t>WP5.5 Local Cluster specialist</w:t>
      </w:r>
    </w:p>
    <w:p>
      <w:pPr>
        <w:spacing w:after="120" w:line="300" w:lineRule="auto"/>
      </w:pPr>
      <w:r>
        <w:rPr>
          <w:rFonts w:ascii="Calibri" w:hAnsi="Calibri"/>
          <w:sz w:val="22"/>
        </w:rPr>
        <w:t>Inspect CPU/GPU, estimate a zero or configured local cost, issue an expiring offer, allocate a process/container quota, and observe the job.</w:t>
      </w:r>
    </w:p>
    <w:p>
      <w:pPr>
        <w:pStyle w:val="Heading2"/>
        <w:keepNext w:val="1"/>
      </w:pPr>
      <w:r>
        <w:rPr>
          <w:rFonts w:ascii="Calibri" w:hAnsi="Calibri"/>
          <w:b/>
          <w:color w:val="2E74B5"/>
          <w:sz w:val="26"/>
        </w:rPr>
        <w:t>WP5.6 End-to-end scenario</w:t>
      </w:r>
    </w:p>
    <w:p>
      <w:pPr>
        <w:spacing w:after="120" w:line="300" w:lineRule="auto"/>
      </w:pPr>
      <w:r>
        <w:rPr>
          <w:rFonts w:ascii="Calibri" w:hAnsi="Calibri"/>
          <w:sz w:val="22"/>
        </w:rPr>
        <w:t xml:space="preserve">Seed a synthetic non-sensitive dataset and deterministic model stub. Submit </w:t>
      </w:r>
      <w:r>
        <w:rPr>
          <w:rFonts w:ascii="Consolas" w:hAnsi="Consolas"/>
          <w:color w:val="1F4D78"/>
          <w:sz w:val="20"/>
        </w:rPr>
        <w:t>CreateModelCandidate</w:t>
      </w:r>
      <w:r>
        <w:rPr>
          <w:rFonts w:ascii="Calibri" w:hAnsi="Calibri"/>
          <w:sz w:val="22"/>
        </w:rPr>
        <w:t>, observe events/projections, complete the smoke run, and verify artifacts, reports, lineage, cost, and audit.</w:t>
      </w:r>
    </w:p>
    <w:p>
      <w:pPr>
        <w:spacing w:after="120" w:line="300" w:lineRule="auto"/>
      </w:pPr>
      <w:r>
        <w:rPr>
          <w:rFonts w:ascii="Calibri" w:hAnsi="Calibri"/>
          <w:b/>
          <w:sz w:val="22"/>
        </w:rPr>
        <w:t>Exit gate:</w:t>
      </w:r>
      <w:r>
        <w:rPr>
          <w:rFonts w:ascii="Calibri" w:hAnsi="Calibri"/>
          <w:sz w:val="22"/>
        </w:rPr>
        <w:t xml:space="preserve"> a clean checkout can start dependencies and complete the scenario with one documented command; replay produces the same final projection; no cloud account or production secret is required; injected failures produce owned, typed failures.</w:t>
      </w:r>
    </w:p>
    <w:p>
      <w:r>
        <w:br w:type="page"/>
      </w:r>
    </w:p>
    <w:p>
      <w:pPr>
        <w:pStyle w:val="Heading1"/>
        <w:keepNext w:val="1"/>
      </w:pPr>
      <w:r>
        <w:rPr>
          <w:rFonts w:ascii="Calibri" w:hAnsi="Calibri"/>
          <w:b/>
          <w:color w:val="2E74B5"/>
          <w:sz w:val="32"/>
        </w:rPr>
        <w:t>Phase 6 — Durable Execution and Real-Time Recovery</w:t>
      </w:r>
    </w:p>
    <w:p>
      <w:pPr>
        <w:pStyle w:val="Heading2"/>
        <w:keepNext w:val="1"/>
      </w:pPr>
      <w:r>
        <w:rPr>
          <w:rFonts w:ascii="Calibri" w:hAnsi="Calibri"/>
          <w:b/>
          <w:color w:val="2E74B5"/>
          <w:sz w:val="26"/>
        </w:rPr>
        <w:t>WP6.1 Workflow backend</w:t>
      </w:r>
    </w:p>
    <w:p>
      <w:pPr>
        <w:spacing w:after="120" w:line="300" w:lineRule="auto"/>
      </w:pPr>
      <w:r>
        <w:rPr>
          <w:rFonts w:ascii="Calibri" w:hAnsi="Calibri"/>
          <w:sz w:val="22"/>
        </w:rPr>
        <w:t>Implement Temporal workflows for command-to-plan, step scheduling, approvals, signals, cancellation, timeouts, and completion. Keep model and tool calls in activities. Workflow code must remain deterministic.</w:t>
      </w:r>
    </w:p>
    <w:p>
      <w:pPr>
        <w:pStyle w:val="Heading2"/>
        <w:keepNext w:val="1"/>
      </w:pPr>
      <w:r>
        <w:rPr>
          <w:rFonts w:ascii="Calibri" w:hAnsi="Calibri"/>
          <w:b/>
          <w:color w:val="2E74B5"/>
          <w:sz w:val="26"/>
        </w:rPr>
        <w:t>WP6.2 Recovery and retry</w:t>
      </w:r>
    </w:p>
    <w:p>
      <w:pPr>
        <w:spacing w:after="120" w:line="300" w:lineRule="auto"/>
      </w:pPr>
      <w:r>
        <w:rPr>
          <w:rFonts w:ascii="Calibri" w:hAnsi="Calibri"/>
          <w:sz w:val="22"/>
        </w:rPr>
        <w:t>Implement retry budgets, fresh-context rules, heartbeats, attempt records, dead-letter workflows, and manual recovery commands.</w:t>
      </w:r>
    </w:p>
    <w:p>
      <w:pPr>
        <w:pStyle w:val="Heading2"/>
        <w:keepNext w:val="1"/>
      </w:pPr>
      <w:r>
        <w:rPr>
          <w:rFonts w:ascii="Calibri" w:hAnsi="Calibri"/>
          <w:b/>
          <w:color w:val="2E74B5"/>
          <w:sz w:val="26"/>
        </w:rPr>
        <w:t>WP6.3 Cancellation and compensation</w:t>
      </w:r>
    </w:p>
    <w:p>
      <w:pPr>
        <w:spacing w:after="120" w:line="300" w:lineRule="auto"/>
      </w:pPr>
      <w:r>
        <w:rPr>
          <w:rFonts w:ascii="Calibri" w:hAnsi="Calibri"/>
          <w:sz w:val="22"/>
        </w:rPr>
        <w:t>Propagate cancellation from workflow to invocation, sandbox, job, reservation, and upload. Add compensation for allocation release, staged artifact cleanup, and traffic rollback when applicable.</w:t>
      </w:r>
    </w:p>
    <w:p>
      <w:pPr>
        <w:pStyle w:val="Heading2"/>
        <w:keepNext w:val="1"/>
      </w:pPr>
      <w:r>
        <w:rPr>
          <w:rFonts w:ascii="Calibri" w:hAnsi="Calibri"/>
          <w:b/>
          <w:color w:val="2E74B5"/>
          <w:sz w:val="26"/>
        </w:rPr>
        <w:t>WP6.4 Streaming and reconnect</w:t>
      </w:r>
    </w:p>
    <w:p>
      <w:pPr>
        <w:spacing w:after="120" w:line="300" w:lineRule="auto"/>
      </w:pPr>
      <w:r>
        <w:rPr>
          <w:rFonts w:ascii="Calibri" w:hAnsi="Calibri"/>
          <w:sz w:val="22"/>
        </w:rPr>
        <w:t>Implement WebSocket session events, SSE projections, cursor replay, reset behavior, bounded buffers, and slow-consumer handling.</w:t>
      </w:r>
    </w:p>
    <w:p>
      <w:pPr>
        <w:pStyle w:val="Heading2"/>
        <w:keepNext w:val="1"/>
      </w:pPr>
      <w:r>
        <w:rPr>
          <w:rFonts w:ascii="Calibri" w:hAnsi="Calibri"/>
          <w:b/>
          <w:color w:val="2E74B5"/>
          <w:sz w:val="26"/>
        </w:rPr>
        <w:t>WP6.5 Chaos verification</w:t>
      </w:r>
    </w:p>
    <w:p>
      <w:pPr>
        <w:spacing w:after="120" w:line="300" w:lineRule="auto"/>
      </w:pPr>
      <w:r>
        <w:rPr>
          <w:rFonts w:ascii="Calibri" w:hAnsi="Calibri"/>
          <w:sz w:val="22"/>
        </w:rPr>
        <w:t>Kill API, worker, database connection, NATS connection, and sandbox process at controlled points. Verify resume, no duplicate durable effect, cost reconciliation, and complete audit.</w:t>
      </w:r>
    </w:p>
    <w:p>
      <w:pPr>
        <w:spacing w:after="120" w:line="300" w:lineRule="auto"/>
      </w:pPr>
      <w:r>
        <w:rPr>
          <w:rFonts w:ascii="Calibri" w:hAnsi="Calibri"/>
          <w:b/>
          <w:sz w:val="22"/>
        </w:rPr>
        <w:t>Exit gate:</w:t>
      </w:r>
      <w:r>
        <w:rPr>
          <w:rFonts w:ascii="Calibri" w:hAnsi="Calibri"/>
          <w:sz w:val="22"/>
        </w:rPr>
        <w:t xml:space="preserve"> workflows survive worker/API restart; approvals may wait across restarts; cancellation is bounded; reconnect has no logical gaps; chaos suite passes with documented recovery times.</w:t>
      </w:r>
    </w:p>
    <w:p>
      <w:r>
        <w:br w:type="page"/>
      </w:r>
    </w:p>
    <w:p>
      <w:pPr>
        <w:pStyle w:val="Heading1"/>
        <w:keepNext w:val="1"/>
      </w:pPr>
      <w:r>
        <w:rPr>
          <w:rFonts w:ascii="Calibri" w:hAnsi="Calibri"/>
          <w:b/>
          <w:color w:val="2E74B5"/>
          <w:sz w:val="32"/>
        </w:rPr>
        <w:t>Phase 7 — Hosted Resource Plane</w:t>
      </w:r>
    </w:p>
    <w:p>
      <w:pPr>
        <w:pStyle w:val="Heading2"/>
        <w:keepNext w:val="1"/>
      </w:pPr>
      <w:r>
        <w:rPr>
          <w:rFonts w:ascii="Calibri" w:hAnsi="Calibri"/>
          <w:b/>
          <w:color w:val="2E74B5"/>
          <w:sz w:val="26"/>
        </w:rPr>
        <w:t>WP7.1 Hosted infrastructure baseline</w:t>
      </w:r>
    </w:p>
    <w:p>
      <w:pPr>
        <w:spacing w:after="120" w:line="300" w:lineRule="auto"/>
      </w:pPr>
      <w:r>
        <w:rPr>
          <w:rFonts w:ascii="Calibri" w:hAnsi="Calibri"/>
          <w:sz w:val="22"/>
        </w:rPr>
        <w:t>Provision PostgreSQL, object storage, NATS, Temporal, OPA, identity integration, secret broker, and worker namespaces through infrastructure as code.</w:t>
      </w:r>
    </w:p>
    <w:p>
      <w:pPr>
        <w:pStyle w:val="Heading2"/>
        <w:keepNext w:val="1"/>
      </w:pPr>
      <w:r>
        <w:rPr>
          <w:rFonts w:ascii="Calibri" w:hAnsi="Calibri"/>
          <w:b/>
          <w:color w:val="2E74B5"/>
          <w:sz w:val="26"/>
        </w:rPr>
        <w:t>WP7.2 Kubernetes compute adapter</w:t>
      </w:r>
    </w:p>
    <w:p>
      <w:pPr>
        <w:spacing w:after="120" w:line="300" w:lineRule="auto"/>
      </w:pPr>
      <w:r>
        <w:rPr>
          <w:rFonts w:ascii="Calibri" w:hAnsi="Calibri"/>
          <w:sz w:val="22"/>
        </w:rPr>
        <w:t>Implement capacity, offers, approved allocation, job submission, observation, termination, cleanup, data locality, quotas, and normalized failures.</w:t>
      </w:r>
    </w:p>
    <w:p>
      <w:pPr>
        <w:pStyle w:val="Heading2"/>
        <w:keepNext w:val="1"/>
      </w:pPr>
      <w:r>
        <w:rPr>
          <w:rFonts w:ascii="Calibri" w:hAnsi="Calibri"/>
          <w:b/>
          <w:color w:val="2E74B5"/>
          <w:sz w:val="26"/>
        </w:rPr>
        <w:t>WP7.3 Distributed workers and sandboxes</w:t>
      </w:r>
    </w:p>
    <w:p>
      <w:pPr>
        <w:spacing w:after="120" w:line="300" w:lineRule="auto"/>
      </w:pPr>
      <w:r>
        <w:rPr>
          <w:rFonts w:ascii="Calibri" w:hAnsi="Calibri"/>
          <w:sz w:val="22"/>
        </w:rPr>
        <w:t>Separate worker pools by tier, task risk, and resource class. Apply service accounts, network policy, pod security, quotas, image allowlists, and ephemeral storage limits.</w:t>
      </w:r>
    </w:p>
    <w:p>
      <w:pPr>
        <w:pStyle w:val="Heading2"/>
        <w:keepNext w:val="1"/>
      </w:pPr>
      <w:r>
        <w:rPr>
          <w:rFonts w:ascii="Calibri" w:hAnsi="Calibri"/>
          <w:b/>
          <w:color w:val="2E74B5"/>
          <w:sz w:val="26"/>
        </w:rPr>
        <w:t>WP7.4 Hosted artifact and event scale</w:t>
      </w:r>
    </w:p>
    <w:p>
      <w:pPr>
        <w:spacing w:after="120" w:line="300" w:lineRule="auto"/>
      </w:pPr>
      <w:r>
        <w:rPr>
          <w:rFonts w:ascii="Calibri" w:hAnsi="Calibri"/>
          <w:sz w:val="22"/>
        </w:rPr>
        <w:t>Add multipart upload, lifecycle policies, encryption keys, replication choice, projection scaling, outbox lag monitoring, and backpressure.</w:t>
      </w:r>
    </w:p>
    <w:p>
      <w:pPr>
        <w:pStyle w:val="Heading2"/>
        <w:keepNext w:val="1"/>
      </w:pPr>
      <w:r>
        <w:rPr>
          <w:rFonts w:ascii="Calibri" w:hAnsi="Calibri"/>
          <w:b/>
          <w:color w:val="2E74B5"/>
          <w:sz w:val="26"/>
        </w:rPr>
        <w:t>WP7.5 FinOps hosted reconciliation</w:t>
      </w:r>
    </w:p>
    <w:p>
      <w:pPr>
        <w:spacing w:after="120" w:line="300" w:lineRule="auto"/>
      </w:pPr>
      <w:r>
        <w:rPr>
          <w:rFonts w:ascii="Calibri" w:hAnsi="Calibri"/>
          <w:sz w:val="22"/>
        </w:rPr>
        <w:t>Reconcile scheduler observations and provider billing exports; alert on drift between estimates, reservations, and actuals.</w:t>
      </w:r>
    </w:p>
    <w:p>
      <w:pPr>
        <w:spacing w:after="120" w:line="300" w:lineRule="auto"/>
      </w:pPr>
      <w:r>
        <w:rPr>
          <w:rFonts w:ascii="Calibri" w:hAnsi="Calibri"/>
          <w:b/>
          <w:sz w:val="22"/>
        </w:rPr>
        <w:t>Exit gate:</w:t>
      </w:r>
      <w:r>
        <w:rPr>
          <w:rFonts w:ascii="Calibri" w:hAnsi="Calibri"/>
          <w:sz w:val="22"/>
        </w:rPr>
        <w:t xml:space="preserve"> hosted execution passes adapter contracts, tenant isolation tests, secret canary tests, workload escape tests, failover tests, and cost reconciliation within defined tolerance.</w:t>
      </w:r>
    </w:p>
    <w:p>
      <w:r>
        <w:br w:type="page"/>
      </w:r>
    </w:p>
    <w:p>
      <w:pPr>
        <w:pStyle w:val="Heading1"/>
        <w:keepNext w:val="1"/>
      </w:pPr>
      <w:r>
        <w:rPr>
          <w:rFonts w:ascii="Calibri" w:hAnsi="Calibri"/>
          <w:b/>
          <w:color w:val="2E74B5"/>
          <w:sz w:val="32"/>
        </w:rPr>
        <w:t>Phase 8 — Model Lifecycle</w:t>
      </w:r>
    </w:p>
    <w:p>
      <w:pPr>
        <w:pStyle w:val="Heading2"/>
        <w:keepNext w:val="1"/>
      </w:pPr>
      <w:r>
        <w:rPr>
          <w:rFonts w:ascii="Calibri" w:hAnsi="Calibri"/>
          <w:b/>
          <w:color w:val="2E74B5"/>
          <w:sz w:val="26"/>
        </w:rPr>
        <w:t>WP8.1 Experiment and MLOps</w:t>
      </w:r>
    </w:p>
    <w:p>
      <w:pPr>
        <w:spacing w:after="120" w:line="300" w:lineRule="auto"/>
      </w:pPr>
      <w:r>
        <w:rPr>
          <w:rFonts w:ascii="Calibri" w:hAnsi="Calibri"/>
          <w:sz w:val="22"/>
        </w:rPr>
        <w:t>Implement run creation, metrics, environment snapshots, checkpoint validation, lineage graph, model version registration, retention, and rollback target selection.</w:t>
      </w:r>
    </w:p>
    <w:p>
      <w:pPr>
        <w:pStyle w:val="Heading2"/>
        <w:keepNext w:val="1"/>
      </w:pPr>
      <w:r>
        <w:rPr>
          <w:rFonts w:ascii="Calibri" w:hAnsi="Calibri"/>
          <w:b/>
          <w:color w:val="2E74B5"/>
          <w:sz w:val="26"/>
        </w:rPr>
        <w:t>WP8.2 Independent Eval</w:t>
      </w:r>
    </w:p>
    <w:p>
      <w:pPr>
        <w:spacing w:after="120" w:line="300" w:lineRule="auto"/>
      </w:pPr>
      <w:r>
        <w:rPr>
          <w:rFonts w:ascii="Calibri" w:hAnsi="Calibri"/>
          <w:sz w:val="22"/>
        </w:rPr>
        <w:t>Implement immutable evaluation inputs, benchmark runner, metrics, significance, qualitative samples, regression classification, limitations, and promotion recommendation.</w:t>
      </w:r>
    </w:p>
    <w:p>
      <w:pPr>
        <w:pStyle w:val="Heading2"/>
        <w:keepNext w:val="1"/>
      </w:pPr>
      <w:r>
        <w:rPr>
          <w:rFonts w:ascii="Calibri" w:hAnsi="Calibri"/>
          <w:b/>
          <w:color w:val="2E74B5"/>
          <w:sz w:val="26"/>
        </w:rPr>
        <w:t>WP8.3 Model registry publication</w:t>
      </w:r>
    </w:p>
    <w:p>
      <w:pPr>
        <w:spacing w:after="120" w:line="300" w:lineRule="auto"/>
      </w:pPr>
      <w:r>
        <w:rPr>
          <w:rFonts w:ascii="Calibri" w:hAnsi="Calibri"/>
          <w:sz w:val="22"/>
        </w:rPr>
        <w:t>Implement deterministic publication service that validates lineage, evaluation, approval, policy, artifact hashes, and exact model version.</w:t>
      </w:r>
    </w:p>
    <w:p>
      <w:pPr>
        <w:pStyle w:val="Heading2"/>
        <w:keepNext w:val="1"/>
      </w:pPr>
      <w:r>
        <w:rPr>
          <w:rFonts w:ascii="Calibri" w:hAnsi="Calibri"/>
          <w:b/>
          <w:color w:val="2E74B5"/>
          <w:sz w:val="26"/>
        </w:rPr>
        <w:t>WP8.4 Deployment and Serving</w:t>
      </w:r>
    </w:p>
    <w:p>
      <w:pPr>
        <w:spacing w:after="120" w:line="300" w:lineRule="auto"/>
      </w:pPr>
      <w:r>
        <w:rPr>
          <w:rFonts w:ascii="Calibri" w:hAnsi="Calibri"/>
          <w:sz w:val="22"/>
        </w:rPr>
        <w:t>Implement endpoint provision, smoke test, traffic weights, observation windows, ramp, automated rollback, and deployment state machine.</w:t>
      </w:r>
    </w:p>
    <w:p>
      <w:pPr>
        <w:pStyle w:val="Heading2"/>
        <w:keepNext w:val="1"/>
      </w:pPr>
      <w:r>
        <w:rPr>
          <w:rFonts w:ascii="Calibri" w:hAnsi="Calibri"/>
          <w:b/>
          <w:color w:val="2E74B5"/>
          <w:sz w:val="26"/>
        </w:rPr>
        <w:t>WP8.5 Full candidate workflow</w:t>
      </w:r>
    </w:p>
    <w:p>
      <w:pPr>
        <w:spacing w:after="120" w:line="300" w:lineRule="auto"/>
      </w:pPr>
      <w:r>
        <w:rPr>
          <w:rFonts w:ascii="Calibri" w:hAnsi="Calibri"/>
          <w:sz w:val="22"/>
        </w:rPr>
        <w:t>Execute the reference fine-tuning scenario with hard budget, approval threshold, OOM recovery, evaluation, 10% internal canary, and rollback injection.</w:t>
      </w:r>
    </w:p>
    <w:p>
      <w:pPr>
        <w:spacing w:after="120" w:line="300" w:lineRule="auto"/>
      </w:pPr>
      <w:r>
        <w:rPr>
          <w:rFonts w:ascii="Calibri" w:hAnsi="Calibri"/>
          <w:b/>
          <w:sz w:val="22"/>
        </w:rPr>
        <w:t>Exit gate:</w:t>
      </w:r>
      <w:r>
        <w:rPr>
          <w:rFonts w:ascii="Calibri" w:hAnsi="Calibri"/>
          <w:sz w:val="22"/>
        </w:rPr>
        <w:t xml:space="preserve"> a model cannot publish without complete lineage and independent evaluation; only Deployment changes traffic; approval is invalidated by target/version/cost change; rollback completes within the agreed SLO.</w:t>
      </w:r>
    </w:p>
    <w:p>
      <w:r>
        <w:br w:type="page"/>
      </w:r>
    </w:p>
    <w:p>
      <w:pPr>
        <w:pStyle w:val="Heading1"/>
        <w:keepNext w:val="1"/>
      </w:pPr>
      <w:r>
        <w:rPr>
          <w:rFonts w:ascii="Calibri" w:hAnsi="Calibri"/>
          <w:b/>
          <w:color w:val="2E74B5"/>
          <w:sz w:val="32"/>
        </w:rPr>
        <w:t>Phase 9 — Governance and Connectors</w:t>
      </w:r>
    </w:p>
    <w:p>
      <w:pPr>
        <w:pStyle w:val="Heading2"/>
        <w:keepNext w:val="1"/>
      </w:pPr>
      <w:r>
        <w:rPr>
          <w:rFonts w:ascii="Calibri" w:hAnsi="Calibri"/>
          <w:b/>
          <w:color w:val="2E74B5"/>
          <w:sz w:val="26"/>
        </w:rPr>
        <w:t>WP9.1 Governance consultations</w:t>
      </w:r>
    </w:p>
    <w:p>
      <w:pPr>
        <w:spacing w:after="120" w:line="300" w:lineRule="auto"/>
      </w:pPr>
      <w:r>
        <w:rPr>
          <w:rFonts w:ascii="Calibri" w:hAnsi="Calibri"/>
          <w:sz w:val="22"/>
        </w:rPr>
        <w:t>Implement typed consultation requests, policy artifacts, evidence, expiry, re-evaluation, and blocked-state propagation.</w:t>
      </w:r>
    </w:p>
    <w:p>
      <w:pPr>
        <w:pStyle w:val="Heading2"/>
        <w:keepNext w:val="1"/>
      </w:pPr>
      <w:r>
        <w:rPr>
          <w:rFonts w:ascii="Calibri" w:hAnsi="Calibri"/>
          <w:b/>
          <w:color w:val="2E74B5"/>
          <w:sz w:val="26"/>
        </w:rPr>
        <w:t>WP9.2 Connector development sandbox</w:t>
      </w:r>
    </w:p>
    <w:p>
      <w:pPr>
        <w:spacing w:after="120" w:line="300" w:lineRule="auto"/>
      </w:pPr>
      <w:r>
        <w:rPr>
          <w:rFonts w:ascii="Calibri" w:hAnsi="Calibri"/>
          <w:sz w:val="22"/>
        </w:rPr>
        <w:t>Implement documentation ingestion as untrusted content, schema generation, restricted coding harness, mock/sandbox credentials, contract tests, dependency scan, and package build.</w:t>
      </w:r>
    </w:p>
    <w:p>
      <w:pPr>
        <w:pStyle w:val="Heading2"/>
        <w:keepNext w:val="1"/>
      </w:pPr>
      <w:r>
        <w:rPr>
          <w:rFonts w:ascii="Calibri" w:hAnsi="Calibri"/>
          <w:b/>
          <w:color w:val="2E74B5"/>
          <w:sz w:val="26"/>
        </w:rPr>
        <w:t>WP9.3 Connector scope and publication</w:t>
      </w:r>
    </w:p>
    <w:p>
      <w:pPr>
        <w:spacing w:after="120" w:line="300" w:lineRule="auto"/>
      </w:pPr>
      <w:r>
        <w:rPr>
          <w:rFonts w:ascii="Calibri" w:hAnsi="Calibri"/>
          <w:sz w:val="22"/>
        </w:rPr>
        <w:t>Governance reviews scopes; human approval is mandatory; deterministic registry service verifies digest and publishes. Add revocation, deprecation, and rollback.</w:t>
      </w:r>
    </w:p>
    <w:p>
      <w:pPr>
        <w:pStyle w:val="Heading2"/>
        <w:keepNext w:val="1"/>
      </w:pPr>
      <w:r>
        <w:rPr>
          <w:rFonts w:ascii="Calibri" w:hAnsi="Calibri"/>
          <w:b/>
          <w:color w:val="2E74B5"/>
          <w:sz w:val="26"/>
        </w:rPr>
        <w:t>WP9.4 Prompt-injection and exfiltration tests</w:t>
      </w:r>
    </w:p>
    <w:p>
      <w:pPr>
        <w:spacing w:after="120" w:line="300" w:lineRule="auto"/>
      </w:pPr>
      <w:r>
        <w:rPr>
          <w:rFonts w:ascii="Calibri" w:hAnsi="Calibri"/>
          <w:sz w:val="22"/>
        </w:rPr>
        <w:t>Seed malicious docs, API responses, source files, and datasets. Verify they cannot expand scope, obtain credentials, redirect network access, change policies, or suppress audit.</w:t>
      </w:r>
    </w:p>
    <w:p>
      <w:pPr>
        <w:spacing w:after="120" w:line="300" w:lineRule="auto"/>
      </w:pPr>
      <w:r>
        <w:rPr>
          <w:rFonts w:ascii="Calibri" w:hAnsi="Calibri"/>
          <w:b/>
          <w:sz w:val="22"/>
        </w:rPr>
        <w:t>Exit gate:</w:t>
      </w:r>
      <w:r>
        <w:rPr>
          <w:rFonts w:ascii="Calibri" w:hAnsi="Calibri"/>
          <w:sz w:val="22"/>
        </w:rPr>
        <w:t xml:space="preserve"> no connector reaches registry without scans, tests, Governance decision, and exact human approval; production secret values never reach model context; revocation blocks new calls promptly.</w:t>
      </w:r>
    </w:p>
    <w:p>
      <w:r>
        <w:br w:type="page"/>
      </w:r>
    </w:p>
    <w:p>
      <w:pPr>
        <w:pStyle w:val="Heading1"/>
        <w:keepNext w:val="1"/>
      </w:pPr>
      <w:r>
        <w:rPr>
          <w:rFonts w:ascii="Calibri" w:hAnsi="Calibri"/>
          <w:b/>
          <w:color w:val="2E74B5"/>
          <w:sz w:val="32"/>
        </w:rPr>
        <w:t>Phase 10 — Product Shell</w:t>
      </w:r>
    </w:p>
    <w:p>
      <w:pPr>
        <w:pStyle w:val="Heading2"/>
        <w:keepNext w:val="1"/>
      </w:pPr>
      <w:r>
        <w:rPr>
          <w:rFonts w:ascii="Calibri" w:hAnsi="Calibri"/>
          <w:b/>
          <w:color w:val="2E74B5"/>
          <w:sz w:val="26"/>
        </w:rPr>
        <w:t>WP10.1 Application frame and authentication</w:t>
      </w:r>
    </w:p>
    <w:p>
      <w:pPr>
        <w:spacing w:after="120" w:line="300" w:lineRule="auto"/>
      </w:pPr>
      <w:r>
        <w:rPr>
          <w:rFonts w:ascii="Calibri" w:hAnsi="Calibri"/>
          <w:sz w:val="22"/>
        </w:rPr>
        <w:t>Build workspace routing, identity, tenant selection, session recovery, accessibility baseline, and global error handling.</w:t>
      </w:r>
    </w:p>
    <w:p>
      <w:pPr>
        <w:pStyle w:val="Heading2"/>
        <w:keepNext w:val="1"/>
      </w:pPr>
      <w:r>
        <w:rPr>
          <w:rFonts w:ascii="Calibri" w:hAnsi="Calibri"/>
          <w:b/>
          <w:color w:val="2E74B5"/>
          <w:sz w:val="26"/>
        </w:rPr>
        <w:t>WP10.2 Projection panels</w:t>
      </w:r>
    </w:p>
    <w:p>
      <w:pPr>
        <w:spacing w:after="120" w:line="300" w:lineRule="auto"/>
      </w:pPr>
      <w:r>
        <w:rPr>
          <w:rFonts w:ascii="Calibri" w:hAnsi="Calibri"/>
          <w:sz w:val="22"/>
        </w:rPr>
        <w:t>Build chat, workflows, jobs, compute, catalog, models, connectors, governance, approvals, costs, repositories, and audit panels strictly from projection APIs.</w:t>
      </w:r>
    </w:p>
    <w:p>
      <w:pPr>
        <w:pStyle w:val="Heading2"/>
        <w:keepNext w:val="1"/>
      </w:pPr>
      <w:r>
        <w:rPr>
          <w:rFonts w:ascii="Calibri" w:hAnsi="Calibri"/>
          <w:b/>
          <w:color w:val="2E74B5"/>
          <w:sz w:val="26"/>
        </w:rPr>
        <w:t>WP10.3 Commands and human edits</w:t>
      </w:r>
    </w:p>
    <w:p>
      <w:pPr>
        <w:spacing w:after="120" w:line="300" w:lineRule="auto"/>
      </w:pPr>
      <w:r>
        <w:rPr>
          <w:rFonts w:ascii="Calibri" w:hAnsi="Calibri"/>
          <w:sz w:val="22"/>
        </w:rPr>
        <w:t>Implement schema-driven forms, expected-version edits, conflict UI, human ownership indicators, stale descendant warnings, approval review, and cancellation.</w:t>
      </w:r>
    </w:p>
    <w:p>
      <w:pPr>
        <w:pStyle w:val="Heading2"/>
        <w:keepNext w:val="1"/>
      </w:pPr>
      <w:r>
        <w:rPr>
          <w:rFonts w:ascii="Calibri" w:hAnsi="Calibri"/>
          <w:b/>
          <w:color w:val="2E74B5"/>
          <w:sz w:val="26"/>
        </w:rPr>
        <w:t>WP10.4 Live run experience</w:t>
      </w:r>
    </w:p>
    <w:p>
      <w:pPr>
        <w:spacing w:after="120" w:line="300" w:lineRule="auto"/>
      </w:pPr>
      <w:r>
        <w:rPr>
          <w:rFonts w:ascii="Calibri" w:hAnsi="Calibri"/>
          <w:sz w:val="22"/>
        </w:rPr>
        <w:t>Show plan, dependencies, invocation tree, current states, streaming logs, costs, artifacts, decisions, failures, and approval gates. Do not imply completion until report and artifact validation finish.</w:t>
      </w:r>
    </w:p>
    <w:p>
      <w:pPr>
        <w:pStyle w:val="Heading2"/>
        <w:keepNext w:val="1"/>
      </w:pPr>
      <w:r>
        <w:rPr>
          <w:rFonts w:ascii="Calibri" w:hAnsi="Calibri"/>
          <w:b/>
          <w:color w:val="2E74B5"/>
          <w:sz w:val="26"/>
        </w:rPr>
        <w:t>WP10.5 UI test suite</w:t>
      </w:r>
    </w:p>
    <w:p>
      <w:pPr>
        <w:spacing w:after="120" w:line="300" w:lineRule="auto"/>
      </w:pPr>
      <w:r>
        <w:rPr>
          <w:rFonts w:ascii="Calibri" w:hAnsi="Calibri"/>
          <w:sz w:val="22"/>
        </w:rPr>
        <w:t>Test reconnect, duplicate events, stale cursor reset, optimistic conflicts, rejected approvals, cancellation, inaccessible actions, keyboard navigation, screen readers, and large log virtualization.</w:t>
      </w:r>
    </w:p>
    <w:p>
      <w:pPr>
        <w:spacing w:after="120" w:line="300" w:lineRule="auto"/>
      </w:pPr>
      <w:r>
        <w:rPr>
          <w:rFonts w:ascii="Calibri" w:hAnsi="Calibri"/>
          <w:b/>
          <w:sz w:val="22"/>
        </w:rPr>
        <w:t>Exit gate:</w:t>
      </w:r>
      <w:r>
        <w:rPr>
          <w:rFonts w:ascii="Calibri" w:hAnsi="Calibri"/>
          <w:sz w:val="22"/>
        </w:rPr>
        <w:t xml:space="preserve"> panels display the same state as APIs; no business policy exists in UI code; reconnect and conflict flows pass; consequential actions communicate exact scope, version, target, and cost.</w:t>
      </w:r>
    </w:p>
    <w:p>
      <w:r>
        <w:br w:type="page"/>
      </w:r>
    </w:p>
    <w:p>
      <w:pPr>
        <w:pStyle w:val="Heading1"/>
        <w:keepNext w:val="1"/>
      </w:pPr>
      <w:r>
        <w:rPr>
          <w:rFonts w:ascii="Calibri" w:hAnsi="Calibri"/>
          <w:b/>
          <w:color w:val="2E74B5"/>
          <w:sz w:val="32"/>
        </w:rPr>
        <w:t>Phase 11 — Production Hardening and Launch</w:t>
      </w:r>
    </w:p>
    <w:p>
      <w:pPr>
        <w:pStyle w:val="Heading2"/>
        <w:keepNext w:val="1"/>
      </w:pPr>
      <w:r>
        <w:rPr>
          <w:rFonts w:ascii="Calibri" w:hAnsi="Calibri"/>
          <w:b/>
          <w:color w:val="2E74B5"/>
          <w:sz w:val="26"/>
        </w:rPr>
        <w:t>WP11.1 Threat model and security review</w:t>
      </w:r>
    </w:p>
    <w:p>
      <w:pPr>
        <w:spacing w:after="120" w:line="300" w:lineRule="auto"/>
      </w:pPr>
      <w:r>
        <w:rPr>
          <w:rFonts w:ascii="Calibri" w:hAnsi="Calibri"/>
          <w:sz w:val="22"/>
        </w:rPr>
        <w:t>Cover tenant isolation, confused deputy, prompt injection, credential exfiltration, artifact poisoning, supply chain, sandbox escape, approval replay, budget race, event forgery, and audit tampering.</w:t>
      </w:r>
    </w:p>
    <w:p>
      <w:pPr>
        <w:pStyle w:val="Heading2"/>
        <w:keepNext w:val="1"/>
      </w:pPr>
      <w:r>
        <w:rPr>
          <w:rFonts w:ascii="Calibri" w:hAnsi="Calibri"/>
          <w:b/>
          <w:color w:val="2E74B5"/>
          <w:sz w:val="26"/>
        </w:rPr>
        <w:t>WP11.2 Reliability and disaster recovery</w:t>
      </w:r>
    </w:p>
    <w:p>
      <w:pPr>
        <w:spacing w:after="120" w:line="300" w:lineRule="auto"/>
      </w:pPr>
      <w:r>
        <w:rPr>
          <w:rFonts w:ascii="Calibri" w:hAnsi="Calibri"/>
          <w:sz w:val="22"/>
        </w:rPr>
        <w:t>Define backups, point-in-time recovery, object recovery, event replay, key rotation, restore drills, region failure posture, and recovery objectives.</w:t>
      </w:r>
    </w:p>
    <w:p>
      <w:pPr>
        <w:pStyle w:val="Heading2"/>
        <w:keepNext w:val="1"/>
      </w:pPr>
      <w:r>
        <w:rPr>
          <w:rFonts w:ascii="Calibri" w:hAnsi="Calibri"/>
          <w:b/>
          <w:color w:val="2E74B5"/>
          <w:sz w:val="26"/>
        </w:rPr>
        <w:t>WP11.3 Performance and capacity</w:t>
      </w:r>
    </w:p>
    <w:p>
      <w:pPr>
        <w:spacing w:after="120" w:line="300" w:lineRule="auto"/>
      </w:pPr>
      <w:r>
        <w:rPr>
          <w:rFonts w:ascii="Calibri" w:hAnsi="Calibri"/>
          <w:sz w:val="22"/>
        </w:rPr>
        <w:t>Load test command intake, projection updates, event fan-out, workflow scheduling, artifact upload, concurrent sandboxes, and log streaming. Publish capacity model and scaling thresholds.</w:t>
      </w:r>
    </w:p>
    <w:p>
      <w:pPr>
        <w:pStyle w:val="Heading2"/>
        <w:keepNext w:val="1"/>
      </w:pPr>
      <w:r>
        <w:rPr>
          <w:rFonts w:ascii="Calibri" w:hAnsi="Calibri"/>
          <w:b/>
          <w:color w:val="2E74B5"/>
          <w:sz w:val="26"/>
        </w:rPr>
        <w:t>WP11.4 Operations</w:t>
      </w:r>
    </w:p>
    <w:p>
      <w:pPr>
        <w:spacing w:after="120" w:line="300" w:lineRule="auto"/>
      </w:pPr>
      <w:r>
        <w:rPr>
          <w:rFonts w:ascii="Calibri" w:hAnsi="Calibri"/>
          <w:sz w:val="22"/>
        </w:rPr>
        <w:t>Create runbooks for stuck workflow, outbox lag, projection rebuild, policy outage, Temporal backlog, NATS outage, cost anomaly, leaked credential suspicion, sandbox orphan, failed rollout, and tenant export/deletion.</w:t>
      </w:r>
    </w:p>
    <w:p>
      <w:pPr>
        <w:pStyle w:val="Heading2"/>
        <w:keepNext w:val="1"/>
      </w:pPr>
      <w:r>
        <w:rPr>
          <w:rFonts w:ascii="Calibri" w:hAnsi="Calibri"/>
          <w:b/>
          <w:color w:val="2E74B5"/>
          <w:sz w:val="26"/>
        </w:rPr>
        <w:t>WP11.5 Release governance</w:t>
      </w:r>
    </w:p>
    <w:p>
      <w:pPr>
        <w:spacing w:after="120" w:line="300" w:lineRule="auto"/>
      </w:pPr>
      <w:r>
        <w:rPr>
          <w:rFonts w:ascii="Calibri" w:hAnsi="Calibri"/>
          <w:sz w:val="22"/>
        </w:rPr>
        <w:t>Require schema compatibility, migration rehearsal, harness evaluation thresholds, policy review for new capabilities, canary release, rollback, and post-release observation.</w:t>
      </w:r>
    </w:p>
    <w:p>
      <w:pPr>
        <w:spacing w:after="120" w:line="300" w:lineRule="auto"/>
      </w:pPr>
      <w:r>
        <w:rPr>
          <w:rFonts w:ascii="Calibri" w:hAnsi="Calibri"/>
          <w:b/>
          <w:sz w:val="22"/>
        </w:rPr>
        <w:t>Exit gate:</w:t>
      </w:r>
      <w:r>
        <w:rPr>
          <w:rFonts w:ascii="Calibri" w:hAnsi="Calibri"/>
          <w:sz w:val="22"/>
        </w:rPr>
        <w:t xml:space="preserve"> security sign-off, operational ownership, tested restore, SLO dashboards, paging, capacity headroom, release/rollback rehearsal, and launch checklist approval.</w:t>
      </w:r>
    </w:p>
    <w:p>
      <w:pPr>
        <w:pStyle w:val="Heading1"/>
        <w:keepNext w:val="1"/>
      </w:pPr>
      <w:r>
        <w:rPr>
          <w:rFonts w:ascii="Calibri" w:hAnsi="Calibri"/>
          <w:b/>
          <w:color w:val="2E74B5"/>
          <w:sz w:val="32"/>
        </w:rPr>
        <w:t>16. Testing and Verification Strategy</w:t>
      </w:r>
    </w:p>
    <w:p>
      <w:pPr>
        <w:pStyle w:val="Heading2"/>
        <w:keepNext w:val="1"/>
      </w:pPr>
      <w:r>
        <w:rPr>
          <w:rFonts w:ascii="Calibri" w:hAnsi="Calibri"/>
          <w:b/>
          <w:color w:val="2E74B5"/>
          <w:sz w:val="26"/>
        </w:rPr>
        <w:t>16.1 Test layers</w:t>
      </w:r>
    </w:p>
    <w:tbl>
      <w:tblPr>
        <w:tblW w:type="dxa" w:w="9360"/>
        <w:jc w:val="left"/>
        <w:tblLayout w:type="fixed"/>
        <w:tblLook w:firstColumn="1" w:firstRow="1" w:lastColumn="0" w:lastRow="0" w:noHBand="0" w:noVBand="1" w:val="04A0"/>
        <w:tblInd w:w="120" w:type="dxa"/>
        <w:tblBorders>
          <w:top w:val="single" w:sz="4" w:color="C7CDD5"/>
          <w:left w:val="single" w:sz="4" w:color="C7CDD5"/>
          <w:bottom w:val="single" w:sz="4" w:color="C7CDD5"/>
          <w:right w:val="single" w:sz="4" w:color="C7CDD5"/>
          <w:insideH w:val="single" w:sz="4" w:color="C7CDD5"/>
          <w:insideV w:val="single" w:sz="4" w:color="C7CDD5"/>
        </w:tblBorders>
      </w:tblPr>
      <w:tblGrid>
        <w:gridCol w:w="2600"/>
        <w:gridCol w:w="1800"/>
        <w:gridCol w:w="4960"/>
      </w:tblGrid>
      <w:tr>
        <w:trPr>
          <w:tblHeader w:val="true"/>
          <w:cantSplit w:val="true"/>
        </w:trPr>
        <w:tc>
          <w:tcPr>
            <w:tcW w:type="dxa" w:w="2600"/>
            <w:tcMar>
              <w:top w:w="80" w:type="dxa"/>
              <w:start w:w="120" w:type="dxa"/>
              <w:bottom w:w="80" w:type="dxa"/>
              <w:end w:w="120" w:type="dxa"/>
            </w:tcMar>
            <w:vAlign w:val="center"/>
            <w:shd w:fill="E8EEF5"/>
          </w:tcPr>
          <w:p>
            <w:pPr>
              <w:spacing w:before="0" w:after="40" w:line="264" w:lineRule="auto"/>
            </w:pPr>
            <w:r>
              <w:rPr>
                <w:rFonts w:ascii="Calibri" w:hAnsi="Calibri"/>
                <w:b/>
                <w:color w:val="1F4D78"/>
                <w:sz w:val="18"/>
              </w:rPr>
              <w:t>Layer</w:t>
            </w:r>
          </w:p>
        </w:tc>
        <w:tc>
          <w:tcPr>
            <w:tcW w:type="dxa" w:w="1800"/>
            <w:tcMar>
              <w:top w:w="80" w:type="dxa"/>
              <w:start w:w="120" w:type="dxa"/>
              <w:bottom w:w="80" w:type="dxa"/>
              <w:end w:w="120" w:type="dxa"/>
            </w:tcMar>
            <w:vAlign w:val="center"/>
            <w:shd w:fill="E8EEF5"/>
          </w:tcPr>
          <w:p>
            <w:pPr>
              <w:spacing w:before="0" w:after="40" w:line="264" w:lineRule="auto"/>
            </w:pPr>
            <w:r>
              <w:rPr>
                <w:rFonts w:ascii="Calibri" w:hAnsi="Calibri"/>
                <w:b/>
                <w:color w:val="1F4D78"/>
                <w:sz w:val="18"/>
              </w:rPr>
              <w:t>Purpose</w:t>
            </w:r>
          </w:p>
        </w:tc>
        <w:tc>
          <w:tcPr>
            <w:tcW w:type="dxa" w:w="4960"/>
            <w:tcMar>
              <w:top w:w="80" w:type="dxa"/>
              <w:start w:w="120" w:type="dxa"/>
              <w:bottom w:w="80" w:type="dxa"/>
              <w:end w:w="120" w:type="dxa"/>
            </w:tcMar>
            <w:vAlign w:val="center"/>
            <w:shd w:fill="E8EEF5"/>
          </w:tcPr>
          <w:p>
            <w:pPr>
              <w:spacing w:before="0" w:after="40" w:line="264" w:lineRule="auto"/>
            </w:pPr>
            <w:r>
              <w:rPr>
                <w:rFonts w:ascii="Calibri" w:hAnsi="Calibri"/>
                <w:b/>
                <w:color w:val="1F4D78"/>
                <w:sz w:val="18"/>
              </w:rPr>
              <w:t>Required examples</w:t>
            </w:r>
          </w:p>
        </w:tc>
      </w:tr>
      <w:tr>
        <w:trPr>
          <w:cantSplit w:val="true"/>
        </w:trPr>
        <w:tc>
          <w:tcPr>
            <w:tcW w:type="dxa" w:w="2600"/>
            <w:tcMar>
              <w:top w:w="80" w:type="dxa"/>
              <w:start w:w="120" w:type="dxa"/>
              <w:bottom w:w="80" w:type="dxa"/>
              <w:end w:w="120" w:type="dxa"/>
            </w:tcMar>
            <w:vAlign w:val="center"/>
          </w:tcPr>
          <w:p>
            <w:pPr>
              <w:spacing w:before="0" w:after="40" w:line="264" w:lineRule="auto"/>
            </w:pPr>
            <w:r>
              <w:rPr>
                <w:rFonts w:ascii="Calibri" w:hAnsi="Calibri"/>
                <w:color w:val="0B2545"/>
                <w:sz w:val="18"/>
              </w:rPr>
              <w:t>Unit</w:t>
            </w:r>
          </w:p>
        </w:tc>
        <w:tc>
          <w:tcPr>
            <w:tcW w:type="dxa" w:w="1800"/>
            <w:tcMar>
              <w:top w:w="80" w:type="dxa"/>
              <w:start w:w="120" w:type="dxa"/>
              <w:bottom w:w="80" w:type="dxa"/>
              <w:end w:w="120" w:type="dxa"/>
            </w:tcMar>
            <w:vAlign w:val="center"/>
          </w:tcPr>
          <w:p>
            <w:pPr>
              <w:spacing w:before="0" w:after="40" w:line="264" w:lineRule="auto"/>
            </w:pPr>
            <w:r>
              <w:rPr>
                <w:rFonts w:ascii="Calibri" w:hAnsi="Calibri"/>
                <w:color w:val="0B2545"/>
                <w:sz w:val="18"/>
              </w:rPr>
              <w:t>Pure schemas, state machines, digests, selectors, cost math</w:t>
            </w:r>
          </w:p>
        </w:tc>
        <w:tc>
          <w:tcPr>
            <w:tcW w:type="dxa" w:w="4960"/>
            <w:tcMar>
              <w:top w:w="80" w:type="dxa"/>
              <w:start w:w="120" w:type="dxa"/>
              <w:bottom w:w="80" w:type="dxa"/>
              <w:end w:w="120" w:type="dxa"/>
            </w:tcMar>
            <w:vAlign w:val="center"/>
          </w:tcPr>
          <w:p>
            <w:pPr>
              <w:spacing w:before="0" w:after="40" w:line="264" w:lineRule="auto"/>
            </w:pPr>
            <w:r>
              <w:rPr>
                <w:rFonts w:ascii="Calibri" w:hAnsi="Calibri"/>
                <w:color w:val="0B2545"/>
                <w:sz w:val="18"/>
              </w:rPr>
              <w:t>All transition edges and canonicalization</w:t>
            </w:r>
          </w:p>
        </w:tc>
      </w:tr>
      <w:tr>
        <w:trPr>
          <w:cantSplit w:val="true"/>
        </w:trPr>
        <w:tc>
          <w:tcPr>
            <w:tcW w:type="dxa" w:w="2600"/>
            <w:tcMar>
              <w:top w:w="80" w:type="dxa"/>
              <w:start w:w="120" w:type="dxa"/>
              <w:bottom w:w="80" w:type="dxa"/>
              <w:end w:w="120" w:type="dxa"/>
            </w:tcMar>
            <w:vAlign w:val="center"/>
          </w:tcPr>
          <w:p>
            <w:pPr>
              <w:spacing w:before="0" w:after="40" w:line="264" w:lineRule="auto"/>
            </w:pPr>
            <w:r>
              <w:rPr>
                <w:rFonts w:ascii="Calibri" w:hAnsi="Calibri"/>
                <w:color w:val="0B2545"/>
                <w:sz w:val="18"/>
              </w:rPr>
              <w:t>Contract</w:t>
            </w:r>
          </w:p>
        </w:tc>
        <w:tc>
          <w:tcPr>
            <w:tcW w:type="dxa" w:w="1800"/>
            <w:tcMar>
              <w:top w:w="80" w:type="dxa"/>
              <w:start w:w="120" w:type="dxa"/>
              <w:bottom w:w="80" w:type="dxa"/>
              <w:end w:w="120" w:type="dxa"/>
            </w:tcMar>
            <w:vAlign w:val="center"/>
          </w:tcPr>
          <w:p>
            <w:pPr>
              <w:spacing w:before="0" w:after="40" w:line="264" w:lineRule="auto"/>
            </w:pPr>
            <w:r>
              <w:rPr>
                <w:rFonts w:ascii="Calibri" w:hAnsi="Calibri"/>
                <w:color w:val="0B2545"/>
                <w:sz w:val="18"/>
              </w:rPr>
              <w:t>Every port against every adapter</w:t>
            </w:r>
          </w:p>
        </w:tc>
        <w:tc>
          <w:tcPr>
            <w:tcW w:type="dxa" w:w="4960"/>
            <w:tcMar>
              <w:top w:w="80" w:type="dxa"/>
              <w:start w:w="120" w:type="dxa"/>
              <w:bottom w:w="80" w:type="dxa"/>
              <w:end w:w="120" w:type="dxa"/>
            </w:tcMar>
            <w:vAlign w:val="center"/>
          </w:tcPr>
          <w:p>
            <w:pPr>
              <w:spacing w:before="0" w:after="40" w:line="264" w:lineRule="auto"/>
            </w:pPr>
            <w:r>
              <w:rPr>
                <w:rFonts w:ascii="Calibri" w:hAnsi="Calibri"/>
                <w:color w:val="0B2545"/>
                <w:sz w:val="18"/>
              </w:rPr>
              <w:t>PostgreSQL/SQLite, local/Kubernetes, local/MLflow</w:t>
            </w:r>
          </w:p>
        </w:tc>
      </w:tr>
      <w:tr>
        <w:trPr>
          <w:cantSplit w:val="true"/>
        </w:trPr>
        <w:tc>
          <w:tcPr>
            <w:tcW w:type="dxa" w:w="2600"/>
            <w:tcMar>
              <w:top w:w="80" w:type="dxa"/>
              <w:start w:w="120" w:type="dxa"/>
              <w:bottom w:w="80" w:type="dxa"/>
              <w:end w:w="120" w:type="dxa"/>
            </w:tcMar>
            <w:vAlign w:val="center"/>
          </w:tcPr>
          <w:p>
            <w:pPr>
              <w:spacing w:before="0" w:after="40" w:line="264" w:lineRule="auto"/>
            </w:pPr>
            <w:r>
              <w:rPr>
                <w:rFonts w:ascii="Calibri" w:hAnsi="Calibri"/>
                <w:color w:val="0B2545"/>
                <w:sz w:val="18"/>
              </w:rPr>
              <w:t>Integration</w:t>
            </w:r>
          </w:p>
        </w:tc>
        <w:tc>
          <w:tcPr>
            <w:tcW w:type="dxa" w:w="1800"/>
            <w:tcMar>
              <w:top w:w="80" w:type="dxa"/>
              <w:start w:w="120" w:type="dxa"/>
              <w:bottom w:w="80" w:type="dxa"/>
              <w:end w:w="120" w:type="dxa"/>
            </w:tcMar>
            <w:vAlign w:val="center"/>
          </w:tcPr>
          <w:p>
            <w:pPr>
              <w:spacing w:before="0" w:after="40" w:line="264" w:lineRule="auto"/>
            </w:pPr>
            <w:r>
              <w:rPr>
                <w:rFonts w:ascii="Calibri" w:hAnsi="Calibri"/>
                <w:color w:val="0B2545"/>
                <w:sz w:val="18"/>
              </w:rPr>
              <w:t>Multiple real services</w:t>
            </w:r>
          </w:p>
        </w:tc>
        <w:tc>
          <w:tcPr>
            <w:tcW w:type="dxa" w:w="4960"/>
            <w:tcMar>
              <w:top w:w="80" w:type="dxa"/>
              <w:start w:w="120" w:type="dxa"/>
              <w:bottom w:w="80" w:type="dxa"/>
              <w:end w:w="120" w:type="dxa"/>
            </w:tcMar>
            <w:vAlign w:val="center"/>
          </w:tcPr>
          <w:p>
            <w:pPr>
              <w:spacing w:before="0" w:after="40" w:line="264" w:lineRule="auto"/>
            </w:pPr>
            <w:r>
              <w:rPr>
                <w:rFonts w:ascii="Calibri" w:hAnsi="Calibri"/>
                <w:color w:val="0B2545"/>
                <w:sz w:val="18"/>
              </w:rPr>
              <w:t>command transaction, outbox, policy, approval, artifact publish</w:t>
            </w:r>
          </w:p>
        </w:tc>
      </w:tr>
      <w:tr>
        <w:trPr>
          <w:cantSplit w:val="true"/>
        </w:trPr>
        <w:tc>
          <w:tcPr>
            <w:tcW w:type="dxa" w:w="2600"/>
            <w:tcMar>
              <w:top w:w="80" w:type="dxa"/>
              <w:start w:w="120" w:type="dxa"/>
              <w:bottom w:w="80" w:type="dxa"/>
              <w:end w:w="120" w:type="dxa"/>
            </w:tcMar>
            <w:vAlign w:val="center"/>
          </w:tcPr>
          <w:p>
            <w:pPr>
              <w:spacing w:before="0" w:after="40" w:line="264" w:lineRule="auto"/>
            </w:pPr>
            <w:r>
              <w:rPr>
                <w:rFonts w:ascii="Calibri" w:hAnsi="Calibri"/>
                <w:color w:val="0B2545"/>
                <w:sz w:val="18"/>
              </w:rPr>
              <w:t>End-to-end</w:t>
            </w:r>
          </w:p>
        </w:tc>
        <w:tc>
          <w:tcPr>
            <w:tcW w:type="dxa" w:w="1800"/>
            <w:tcMar>
              <w:top w:w="80" w:type="dxa"/>
              <w:start w:w="120" w:type="dxa"/>
              <w:bottom w:w="80" w:type="dxa"/>
              <w:end w:w="120" w:type="dxa"/>
            </w:tcMar>
            <w:vAlign w:val="center"/>
          </w:tcPr>
          <w:p>
            <w:pPr>
              <w:spacing w:before="0" w:after="40" w:line="264" w:lineRule="auto"/>
            </w:pPr>
            <w:r>
              <w:rPr>
                <w:rFonts w:ascii="Calibri" w:hAnsi="Calibri"/>
                <w:color w:val="0B2545"/>
                <w:sz w:val="18"/>
              </w:rPr>
              <w:t>User objective through projection</w:t>
            </w:r>
          </w:p>
        </w:tc>
        <w:tc>
          <w:tcPr>
            <w:tcW w:type="dxa" w:w="4960"/>
            <w:tcMar>
              <w:top w:w="80" w:type="dxa"/>
              <w:start w:w="120" w:type="dxa"/>
              <w:bottom w:w="80" w:type="dxa"/>
              <w:end w:w="120" w:type="dxa"/>
            </w:tcMar>
            <w:vAlign w:val="center"/>
          </w:tcPr>
          <w:p>
            <w:pPr>
              <w:spacing w:before="0" w:after="40" w:line="264" w:lineRule="auto"/>
            </w:pPr>
            <w:r>
              <w:rPr>
                <w:rFonts w:ascii="Calibri" w:hAnsi="Calibri"/>
                <w:color w:val="0B2545"/>
                <w:sz w:val="18"/>
              </w:rPr>
              <w:t>local vertical slice, candidate-to-canary</w:t>
            </w:r>
          </w:p>
        </w:tc>
      </w:tr>
      <w:tr>
        <w:trPr>
          <w:cantSplit w:val="true"/>
        </w:trPr>
        <w:tc>
          <w:tcPr>
            <w:tcW w:type="dxa" w:w="2600"/>
            <w:tcMar>
              <w:top w:w="80" w:type="dxa"/>
              <w:start w:w="120" w:type="dxa"/>
              <w:bottom w:w="80" w:type="dxa"/>
              <w:end w:w="120" w:type="dxa"/>
            </w:tcMar>
            <w:vAlign w:val="center"/>
          </w:tcPr>
          <w:p>
            <w:pPr>
              <w:spacing w:before="0" w:after="40" w:line="264" w:lineRule="auto"/>
            </w:pPr>
            <w:r>
              <w:rPr>
                <w:rFonts w:ascii="Calibri" w:hAnsi="Calibri"/>
                <w:color w:val="0B2545"/>
                <w:sz w:val="18"/>
              </w:rPr>
              <w:t>Invariant</w:t>
            </w:r>
          </w:p>
        </w:tc>
        <w:tc>
          <w:tcPr>
            <w:tcW w:type="dxa" w:w="1800"/>
            <w:tcMar>
              <w:top w:w="80" w:type="dxa"/>
              <w:start w:w="120" w:type="dxa"/>
              <w:bottom w:w="80" w:type="dxa"/>
              <w:end w:w="120" w:type="dxa"/>
            </w:tcMar>
            <w:vAlign w:val="center"/>
          </w:tcPr>
          <w:p>
            <w:pPr>
              <w:spacing w:before="0" w:after="40" w:line="264" w:lineRule="auto"/>
            </w:pPr>
            <w:r>
              <w:rPr>
                <w:rFonts w:ascii="Calibri" w:hAnsi="Calibri"/>
                <w:color w:val="0B2545"/>
                <w:sz w:val="18"/>
              </w:rPr>
              <w:t>Security and hierarchy</w:t>
            </w:r>
          </w:p>
        </w:tc>
        <w:tc>
          <w:tcPr>
            <w:tcW w:type="dxa" w:w="4960"/>
            <w:tcMar>
              <w:top w:w="80" w:type="dxa"/>
              <w:start w:w="120" w:type="dxa"/>
              <w:bottom w:w="80" w:type="dxa"/>
              <w:end w:w="120" w:type="dxa"/>
            </w:tcMar>
            <w:vAlign w:val="center"/>
          </w:tcPr>
          <w:p>
            <w:pPr>
              <w:spacing w:before="0" w:after="40" w:line="264" w:lineRule="auto"/>
            </w:pPr>
            <w:r>
              <w:rPr>
                <w:rFonts w:ascii="Calibri" w:hAnsi="Calibri"/>
                <w:color w:val="0B2545"/>
                <w:sz w:val="18"/>
              </w:rPr>
              <w:t>all 20 fixed invariants</w:t>
            </w:r>
          </w:p>
        </w:tc>
      </w:tr>
      <w:tr>
        <w:trPr>
          <w:cantSplit w:val="true"/>
        </w:trPr>
        <w:tc>
          <w:tcPr>
            <w:tcW w:type="dxa" w:w="2600"/>
            <w:tcMar>
              <w:top w:w="80" w:type="dxa"/>
              <w:start w:w="120" w:type="dxa"/>
              <w:bottom w:w="80" w:type="dxa"/>
              <w:end w:w="120" w:type="dxa"/>
            </w:tcMar>
            <w:vAlign w:val="center"/>
          </w:tcPr>
          <w:p>
            <w:pPr>
              <w:spacing w:before="0" w:after="40" w:line="264" w:lineRule="auto"/>
            </w:pPr>
            <w:r>
              <w:rPr>
                <w:rFonts w:ascii="Calibri" w:hAnsi="Calibri"/>
                <w:color w:val="0B2545"/>
                <w:sz w:val="18"/>
              </w:rPr>
              <w:t>Evaluation</w:t>
            </w:r>
          </w:p>
        </w:tc>
        <w:tc>
          <w:tcPr>
            <w:tcW w:type="dxa" w:w="1800"/>
            <w:tcMar>
              <w:top w:w="80" w:type="dxa"/>
              <w:start w:w="120" w:type="dxa"/>
              <w:bottom w:w="80" w:type="dxa"/>
              <w:end w:w="120" w:type="dxa"/>
            </w:tcMar>
            <w:vAlign w:val="center"/>
          </w:tcPr>
          <w:p>
            <w:pPr>
              <w:spacing w:before="0" w:after="40" w:line="264" w:lineRule="auto"/>
            </w:pPr>
            <w:r>
              <w:rPr>
                <w:rFonts w:ascii="Calibri" w:hAnsi="Calibri"/>
                <w:color w:val="0B2545"/>
                <w:sz w:val="18"/>
              </w:rPr>
              <w:t>Agent judgment and task behavior</w:t>
            </w:r>
          </w:p>
        </w:tc>
        <w:tc>
          <w:tcPr>
            <w:tcW w:type="dxa" w:w="4960"/>
            <w:tcMar>
              <w:top w:w="80" w:type="dxa"/>
              <w:start w:w="120" w:type="dxa"/>
              <w:bottom w:w="80" w:type="dxa"/>
              <w:end w:w="120" w:type="dxa"/>
            </w:tcMar>
            <w:vAlign w:val="center"/>
          </w:tcPr>
          <w:p>
            <w:pPr>
              <w:spacing w:before="0" w:after="40" w:line="264" w:lineRule="auto"/>
            </w:pPr>
            <w:r>
              <w:rPr>
                <w:rFonts w:ascii="Calibri" w:hAnsi="Calibri"/>
                <w:color w:val="0B2545"/>
                <w:sz w:val="18"/>
              </w:rPr>
              <w:t>tier-specific curated fixtures</w:t>
            </w:r>
          </w:p>
        </w:tc>
      </w:tr>
      <w:tr>
        <w:trPr>
          <w:cantSplit w:val="true"/>
        </w:trPr>
        <w:tc>
          <w:tcPr>
            <w:tcW w:type="dxa" w:w="2600"/>
            <w:tcMar>
              <w:top w:w="80" w:type="dxa"/>
              <w:start w:w="120" w:type="dxa"/>
              <w:bottom w:w="80" w:type="dxa"/>
              <w:end w:w="120" w:type="dxa"/>
            </w:tcMar>
            <w:vAlign w:val="center"/>
          </w:tcPr>
          <w:p>
            <w:pPr>
              <w:spacing w:before="0" w:after="40" w:line="264" w:lineRule="auto"/>
            </w:pPr>
            <w:r>
              <w:rPr>
                <w:rFonts w:ascii="Calibri" w:hAnsi="Calibri"/>
                <w:color w:val="0B2545"/>
                <w:sz w:val="18"/>
              </w:rPr>
              <w:t>Chaos</w:t>
            </w:r>
          </w:p>
        </w:tc>
        <w:tc>
          <w:tcPr>
            <w:tcW w:type="dxa" w:w="1800"/>
            <w:tcMar>
              <w:top w:w="80" w:type="dxa"/>
              <w:start w:w="120" w:type="dxa"/>
              <w:bottom w:w="80" w:type="dxa"/>
              <w:end w:w="120" w:type="dxa"/>
            </w:tcMar>
            <w:vAlign w:val="center"/>
          </w:tcPr>
          <w:p>
            <w:pPr>
              <w:spacing w:before="0" w:after="40" w:line="264" w:lineRule="auto"/>
            </w:pPr>
            <w:r>
              <w:rPr>
                <w:rFonts w:ascii="Calibri" w:hAnsi="Calibri"/>
                <w:color w:val="0B2545"/>
                <w:sz w:val="18"/>
              </w:rPr>
              <w:t>Recovery and duplication</w:t>
            </w:r>
          </w:p>
        </w:tc>
        <w:tc>
          <w:tcPr>
            <w:tcW w:type="dxa" w:w="4960"/>
            <w:tcMar>
              <w:top w:w="80" w:type="dxa"/>
              <w:start w:w="120" w:type="dxa"/>
              <w:bottom w:w="80" w:type="dxa"/>
              <w:end w:w="120" w:type="dxa"/>
            </w:tcMar>
            <w:vAlign w:val="center"/>
          </w:tcPr>
          <w:p>
            <w:pPr>
              <w:spacing w:before="0" w:after="40" w:line="264" w:lineRule="auto"/>
            </w:pPr>
            <w:r>
              <w:rPr>
                <w:rFonts w:ascii="Calibri" w:hAnsi="Calibri"/>
                <w:color w:val="0B2545"/>
                <w:sz w:val="18"/>
              </w:rPr>
              <w:t>worker crash, network loss, redelivery, timeout</w:t>
            </w:r>
          </w:p>
        </w:tc>
      </w:tr>
      <w:tr>
        <w:trPr>
          <w:cantSplit w:val="true"/>
        </w:trPr>
        <w:tc>
          <w:tcPr>
            <w:tcW w:type="dxa" w:w="2600"/>
            <w:tcMar>
              <w:top w:w="80" w:type="dxa"/>
              <w:start w:w="120" w:type="dxa"/>
              <w:bottom w:w="80" w:type="dxa"/>
              <w:end w:w="120" w:type="dxa"/>
            </w:tcMar>
            <w:vAlign w:val="center"/>
          </w:tcPr>
          <w:p>
            <w:pPr>
              <w:spacing w:before="0" w:after="40" w:line="264" w:lineRule="auto"/>
            </w:pPr>
            <w:r>
              <w:rPr>
                <w:rFonts w:ascii="Calibri" w:hAnsi="Calibri"/>
                <w:color w:val="0B2545"/>
                <w:sz w:val="18"/>
              </w:rPr>
              <w:t>Security</w:t>
            </w:r>
          </w:p>
        </w:tc>
        <w:tc>
          <w:tcPr>
            <w:tcW w:type="dxa" w:w="1800"/>
            <w:tcMar>
              <w:top w:w="80" w:type="dxa"/>
              <w:start w:w="120" w:type="dxa"/>
              <w:bottom w:w="80" w:type="dxa"/>
              <w:end w:w="120" w:type="dxa"/>
            </w:tcMar>
            <w:vAlign w:val="center"/>
          </w:tcPr>
          <w:p>
            <w:pPr>
              <w:spacing w:before="0" w:after="40" w:line="264" w:lineRule="auto"/>
            </w:pPr>
            <w:r>
              <w:rPr>
                <w:rFonts w:ascii="Calibri" w:hAnsi="Calibri"/>
                <w:color w:val="0B2545"/>
                <w:sz w:val="18"/>
              </w:rPr>
              <w:t>Abuse and isolation</w:t>
            </w:r>
          </w:p>
        </w:tc>
        <w:tc>
          <w:tcPr>
            <w:tcW w:type="dxa" w:w="4960"/>
            <w:tcMar>
              <w:top w:w="80" w:type="dxa"/>
              <w:start w:w="120" w:type="dxa"/>
              <w:bottom w:w="80" w:type="dxa"/>
              <w:end w:w="120" w:type="dxa"/>
            </w:tcMar>
            <w:vAlign w:val="center"/>
          </w:tcPr>
          <w:p>
            <w:pPr>
              <w:spacing w:before="0" w:after="40" w:line="264" w:lineRule="auto"/>
            </w:pPr>
            <w:r>
              <w:rPr>
                <w:rFonts w:ascii="Calibri" w:hAnsi="Calibri"/>
                <w:color w:val="0B2545"/>
                <w:sz w:val="18"/>
              </w:rPr>
              <w:t>prompt injection, scope bypass, secret canaries, sandbox escape</w:t>
            </w:r>
          </w:p>
        </w:tc>
      </w:tr>
      <w:tr>
        <w:trPr>
          <w:cantSplit w:val="true"/>
        </w:trPr>
        <w:tc>
          <w:tcPr>
            <w:tcW w:type="dxa" w:w="2600"/>
            <w:tcMar>
              <w:top w:w="80" w:type="dxa"/>
              <w:start w:w="120" w:type="dxa"/>
              <w:bottom w:w="80" w:type="dxa"/>
              <w:end w:w="120" w:type="dxa"/>
            </w:tcMar>
            <w:vAlign w:val="center"/>
          </w:tcPr>
          <w:p>
            <w:pPr>
              <w:spacing w:before="0" w:after="40" w:line="264" w:lineRule="auto"/>
            </w:pPr>
            <w:r>
              <w:rPr>
                <w:rFonts w:ascii="Calibri" w:hAnsi="Calibri"/>
                <w:color w:val="0B2545"/>
                <w:sz w:val="18"/>
              </w:rPr>
              <w:t>Performance</w:t>
            </w:r>
          </w:p>
        </w:tc>
        <w:tc>
          <w:tcPr>
            <w:tcW w:type="dxa" w:w="1800"/>
            <w:tcMar>
              <w:top w:w="80" w:type="dxa"/>
              <w:start w:w="120" w:type="dxa"/>
              <w:bottom w:w="80" w:type="dxa"/>
              <w:end w:w="120" w:type="dxa"/>
            </w:tcMar>
            <w:vAlign w:val="center"/>
          </w:tcPr>
          <w:p>
            <w:pPr>
              <w:spacing w:before="0" w:after="40" w:line="264" w:lineRule="auto"/>
            </w:pPr>
            <w:r>
              <w:rPr>
                <w:rFonts w:ascii="Calibri" w:hAnsi="Calibri"/>
                <w:color w:val="0B2545"/>
                <w:sz w:val="18"/>
              </w:rPr>
              <w:t>SLO and capacity</w:t>
            </w:r>
          </w:p>
        </w:tc>
        <w:tc>
          <w:tcPr>
            <w:tcW w:type="dxa" w:w="4960"/>
            <w:tcMar>
              <w:top w:w="80" w:type="dxa"/>
              <w:start w:w="120" w:type="dxa"/>
              <w:bottom w:w="80" w:type="dxa"/>
              <w:end w:w="120" w:type="dxa"/>
            </w:tcMar>
            <w:vAlign w:val="center"/>
          </w:tcPr>
          <w:p>
            <w:pPr>
              <w:spacing w:before="0" w:after="40" w:line="264" w:lineRule="auto"/>
            </w:pPr>
            <w:r>
              <w:rPr>
                <w:rFonts w:ascii="Calibri" w:hAnsi="Calibri"/>
                <w:color w:val="0B2545"/>
                <w:sz w:val="18"/>
              </w:rPr>
              <w:t>intake, events, projections, logs, workers</w:t>
            </w:r>
          </w:p>
        </w:tc>
      </w:tr>
    </w:tbl>
    <w:p>
      <w:pPr>
        <w:spacing w:after="0"/>
      </w:pPr>
    </w:p>
    <w:p>
      <w:pPr>
        <w:pStyle w:val="Heading2"/>
        <w:keepNext w:val="1"/>
      </w:pPr>
      <w:r>
        <w:rPr>
          <w:rFonts w:ascii="Calibri" w:hAnsi="Calibri"/>
          <w:b/>
          <w:color w:val="2E74B5"/>
          <w:sz w:val="26"/>
        </w:rPr>
        <w:t>16.2 Required CI commands</w:t>
      </w:r>
    </w:p>
    <w:p>
      <w:pPr>
        <w:spacing w:after="120" w:line="300" w:lineRule="auto"/>
      </w:pPr>
      <w:r>
        <w:rPr>
          <w:rFonts w:ascii="Calibri" w:hAnsi="Calibri"/>
          <w:sz w:val="22"/>
        </w:rPr>
        <w:t>Define stable root commands by Phase 1:</w:t>
      </w:r>
    </w:p>
    <w:tbl>
      <w:tblPr>
        <w:tblW w:type="dxa" w:w="9360"/>
        <w:jc w:val="left"/>
        <w:tblLayout w:type="fixed"/>
        <w:tblLook w:firstColumn="1" w:firstRow="1" w:lastColumn="0" w:lastRow="0" w:noHBand="0" w:noVBand="1" w:val="04A0"/>
        <w:tblInd w:w="120" w:type="dxa"/>
        <w:tblBorders>
          <w:top w:val="single" w:sz="4" w:color="D3DAE2"/>
          <w:left w:val="single" w:sz="4" w:color="D3DAE2"/>
          <w:bottom w:val="single" w:sz="4" w:color="D3DAE2"/>
          <w:right w:val="single" w:sz="4" w:color="D3DAE2"/>
          <w:insideH w:val="single" w:sz="4" w:color="D3DAE2"/>
          <w:insideV w:val="single" w:sz="4" w:color="D3DAE2"/>
        </w:tblBorders>
      </w:tblPr>
      <w:tblGrid>
        <w:gridCol w:w="9360"/>
      </w:tblGrid>
      <w:tr>
        <w:tc>
          <w:tcPr>
            <w:tcW w:type="dxa" w:w="9360"/>
            <w:tcMar>
              <w:top w:w="80" w:type="dxa"/>
              <w:start w:w="120" w:type="dxa"/>
              <w:bottom w:w="80" w:type="dxa"/>
              <w:end w:w="120" w:type="dxa"/>
            </w:tcMar>
            <w:shd w:fill="F7F8FA"/>
          </w:tcPr>
          <w:p>
            <w:pPr>
              <w:spacing w:after="0" w:line="240" w:lineRule="auto"/>
            </w:pPr>
            <w:r>
              <w:rPr>
                <w:rFonts w:ascii="Consolas" w:hAnsi="Consolas"/>
                <w:color w:val="263442"/>
                <w:sz w:val="17"/>
              </w:rPr>
              <w:t>pnpm format:check</w:t>
            </w:r>
            <w:r>
              <w:br/>
            </w:r>
            <w:r>
              <w:rPr>
                <w:rFonts w:ascii="Consolas" w:hAnsi="Consolas"/>
                <w:color w:val="263442"/>
                <w:sz w:val="17"/>
              </w:rPr>
              <w:t>pnpm lint</w:t>
            </w:r>
            <w:r>
              <w:br/>
            </w:r>
            <w:r>
              <w:rPr>
                <w:rFonts w:ascii="Consolas" w:hAnsi="Consolas"/>
                <w:color w:val="263442"/>
                <w:sz w:val="17"/>
              </w:rPr>
              <w:t>pnpm typecheck</w:t>
            </w:r>
            <w:r>
              <w:br/>
            </w:r>
            <w:r>
              <w:rPr>
                <w:rFonts w:ascii="Consolas" w:hAnsi="Consolas"/>
                <w:color w:val="263442"/>
                <w:sz w:val="17"/>
              </w:rPr>
              <w:t>pnpm test:unit</w:t>
            </w:r>
            <w:r>
              <w:br/>
            </w:r>
            <w:r>
              <w:rPr>
                <w:rFonts w:ascii="Consolas" w:hAnsi="Consolas"/>
                <w:color w:val="263442"/>
                <w:sz w:val="17"/>
              </w:rPr>
              <w:t>pnpm test:contracts</w:t>
            </w:r>
            <w:r>
              <w:br/>
            </w:r>
            <w:r>
              <w:rPr>
                <w:rFonts w:ascii="Consolas" w:hAnsi="Consolas"/>
                <w:color w:val="263442"/>
                <w:sz w:val="17"/>
              </w:rPr>
              <w:t>pnpm test:invariants</w:t>
            </w:r>
            <w:r>
              <w:br/>
            </w:r>
            <w:r>
              <w:rPr>
                <w:rFonts w:ascii="Consolas" w:hAnsi="Consolas"/>
                <w:color w:val="263442"/>
                <w:sz w:val="17"/>
              </w:rPr>
              <w:t>pnpm schema:generate</w:t>
            </w:r>
            <w:r>
              <w:br/>
            </w:r>
            <w:r>
              <w:rPr>
                <w:rFonts w:ascii="Consolas" w:hAnsi="Consolas"/>
                <w:color w:val="263442"/>
                <w:sz w:val="17"/>
              </w:rPr>
              <w:t>pnpm schema:check</w:t>
            </w:r>
            <w:r>
              <w:br/>
            </w:r>
            <w:r>
              <w:rPr>
                <w:rFonts w:ascii="Consolas" w:hAnsi="Consolas"/>
                <w:color w:val="263442"/>
                <w:sz w:val="17"/>
              </w:rPr>
              <w:t>pnpm deps:check</w:t>
            </w:r>
            <w:r>
              <w:br/>
            </w:r>
            <w:r>
              <w:rPr>
                <w:rFonts w:ascii="Consolas" w:hAnsi="Consolas"/>
                <w:color w:val="263442"/>
                <w:sz w:val="17"/>
              </w:rPr>
              <w:t>pnpm build</w:t>
            </w:r>
          </w:p>
        </w:tc>
      </w:tr>
    </w:tbl>
    <w:p>
      <w:pPr>
        <w:spacing w:after="0"/>
      </w:pPr>
    </w:p>
    <w:p>
      <w:pPr>
        <w:spacing w:after="120" w:line="300" w:lineRule="auto"/>
      </w:pPr>
      <w:r>
        <w:rPr>
          <w:rFonts w:ascii="Calibri" w:hAnsi="Calibri"/>
          <w:sz w:val="22"/>
        </w:rPr>
        <w:t>Integration, end-to-end, evaluation, security, and chaos suites may run in separate CI jobs but are mandatory before their phase gate.</w:t>
      </w:r>
    </w:p>
    <w:p>
      <w:pPr>
        <w:pStyle w:val="Heading2"/>
        <w:keepNext w:val="1"/>
      </w:pPr>
      <w:r>
        <w:rPr>
          <w:rFonts w:ascii="Calibri" w:hAnsi="Calibri"/>
          <w:b/>
          <w:color w:val="2E74B5"/>
          <w:sz w:val="26"/>
        </w:rPr>
        <w:t>16.3 Test data</w:t>
      </w:r>
    </w:p>
    <w:p>
      <w:pPr>
        <w:spacing w:after="80" w:line="300" w:lineRule="auto"/>
        <w:numPr>
          <w:ilvl w:val="0"/>
          <w:numId w:val="10"/>
        </w:numPr>
      </w:pPr>
      <w:r>
        <w:rPr>
          <w:rFonts w:ascii="Calibri" w:hAnsi="Calibri"/>
          <w:sz w:val="22"/>
        </w:rPr>
        <w:t>Use synthetic or explicitly approved data.</w:t>
      </w:r>
    </w:p>
    <w:p>
      <w:pPr>
        <w:spacing w:after="80" w:line="300" w:lineRule="auto"/>
        <w:numPr>
          <w:ilvl w:val="0"/>
          <w:numId w:val="10"/>
        </w:numPr>
      </w:pPr>
      <w:r>
        <w:rPr>
          <w:rFonts w:ascii="Calibri" w:hAnsi="Calibri"/>
          <w:sz w:val="22"/>
        </w:rPr>
        <w:t>Label every fixture with classification and allowed purpose.</w:t>
      </w:r>
    </w:p>
    <w:p>
      <w:pPr>
        <w:spacing w:after="80" w:line="300" w:lineRule="auto"/>
        <w:numPr>
          <w:ilvl w:val="0"/>
          <w:numId w:val="10"/>
        </w:numPr>
      </w:pPr>
      <w:r>
        <w:rPr>
          <w:rFonts w:ascii="Calibri" w:hAnsi="Calibri"/>
          <w:sz w:val="22"/>
        </w:rPr>
        <w:t>Never copy production secrets, customer conversations, model outputs, or datasets into tests.</w:t>
      </w:r>
    </w:p>
    <w:p>
      <w:pPr>
        <w:spacing w:after="80" w:line="300" w:lineRule="auto"/>
        <w:numPr>
          <w:ilvl w:val="0"/>
          <w:numId w:val="10"/>
        </w:numPr>
      </w:pPr>
      <w:r>
        <w:rPr>
          <w:rFonts w:ascii="Calibri" w:hAnsi="Calibri"/>
          <w:sz w:val="22"/>
        </w:rPr>
        <w:t>Freeze critical evaluation fixtures and hash them.</w:t>
      </w:r>
    </w:p>
    <w:p>
      <w:pPr>
        <w:spacing w:after="80" w:line="300" w:lineRule="auto"/>
        <w:numPr>
          <w:ilvl w:val="0"/>
          <w:numId w:val="10"/>
        </w:numPr>
      </w:pPr>
      <w:r>
        <w:rPr>
          <w:rFonts w:ascii="Calibri" w:hAnsi="Calibri"/>
          <w:sz w:val="22"/>
        </w:rPr>
        <w:t>Keep adversarial prompt-injection fixtures isolated and clearly marked as untrusted.</w:t>
      </w:r>
    </w:p>
    <w:p>
      <w:pPr>
        <w:pStyle w:val="Heading2"/>
        <w:keepNext w:val="1"/>
      </w:pPr>
      <w:r>
        <w:rPr>
          <w:rFonts w:ascii="Calibri" w:hAnsi="Calibri"/>
          <w:b/>
          <w:color w:val="2E74B5"/>
          <w:sz w:val="26"/>
        </w:rPr>
        <w:t>16.4 Definition of done for any implementation change</w:t>
      </w:r>
    </w:p>
    <w:p>
      <w:pPr>
        <w:spacing w:after="80" w:line="300" w:lineRule="auto"/>
        <w:numPr>
          <w:ilvl w:val="0"/>
          <w:numId w:val="10"/>
        </w:numPr>
      </w:pPr>
      <w:r>
        <w:rPr>
          <w:rFonts w:ascii="Calibri" w:hAnsi="Calibri"/>
          <w:sz w:val="22"/>
        </w:rPr>
        <w:t>Acceptance criteria are demonstrably met.</w:t>
      </w:r>
    </w:p>
    <w:p>
      <w:pPr>
        <w:spacing w:after="80" w:line="300" w:lineRule="auto"/>
        <w:numPr>
          <w:ilvl w:val="0"/>
          <w:numId w:val="10"/>
        </w:numPr>
      </w:pPr>
      <w:r>
        <w:rPr>
          <w:rFonts w:ascii="Calibri" w:hAnsi="Calibri"/>
          <w:sz w:val="22"/>
        </w:rPr>
        <w:t>Tests cover success, denial, failure, idempotency, and retry where applicable.</w:t>
      </w:r>
    </w:p>
    <w:p>
      <w:pPr>
        <w:spacing w:after="80" w:line="300" w:lineRule="auto"/>
        <w:numPr>
          <w:ilvl w:val="0"/>
          <w:numId w:val="10"/>
        </w:numPr>
      </w:pPr>
      <w:r>
        <w:rPr>
          <w:rFonts w:ascii="Calibri" w:hAnsi="Calibri"/>
          <w:sz w:val="22"/>
        </w:rPr>
        <w:t>Public schema and migration impact are documented.</w:t>
      </w:r>
    </w:p>
    <w:p>
      <w:pPr>
        <w:spacing w:after="80" w:line="300" w:lineRule="auto"/>
        <w:numPr>
          <w:ilvl w:val="0"/>
          <w:numId w:val="10"/>
        </w:numPr>
      </w:pPr>
      <w:r>
        <w:rPr>
          <w:rFonts w:ascii="Calibri" w:hAnsi="Calibri"/>
          <w:sz w:val="22"/>
        </w:rPr>
        <w:t>Observability exists for the new behavior.</w:t>
      </w:r>
    </w:p>
    <w:p>
      <w:pPr>
        <w:spacing w:after="80" w:line="300" w:lineRule="auto"/>
        <w:numPr>
          <w:ilvl w:val="0"/>
          <w:numId w:val="10"/>
        </w:numPr>
      </w:pPr>
      <w:r>
        <w:rPr>
          <w:rFonts w:ascii="Calibri" w:hAnsi="Calibri"/>
          <w:sz w:val="22"/>
        </w:rPr>
        <w:t>Threat model and data classification are updated when behavior changes.</w:t>
      </w:r>
    </w:p>
    <w:p>
      <w:pPr>
        <w:spacing w:after="80" w:line="300" w:lineRule="auto"/>
        <w:numPr>
          <w:ilvl w:val="0"/>
          <w:numId w:val="10"/>
        </w:numPr>
      </w:pPr>
      <w:r>
        <w:rPr>
          <w:rFonts w:ascii="Calibri" w:hAnsi="Calibri"/>
          <w:sz w:val="22"/>
        </w:rPr>
        <w:t>No invariant is weakened.</w:t>
      </w:r>
    </w:p>
    <w:p>
      <w:pPr>
        <w:spacing w:after="80" w:line="300" w:lineRule="auto"/>
        <w:numPr>
          <w:ilvl w:val="0"/>
          <w:numId w:val="10"/>
        </w:numPr>
      </w:pPr>
      <w:r>
        <w:rPr>
          <w:rFonts w:ascii="Calibri" w:hAnsi="Calibri"/>
          <w:sz w:val="22"/>
        </w:rPr>
        <w:t>Rollback or disable path exists.</w:t>
      </w:r>
    </w:p>
    <w:p>
      <w:pPr>
        <w:spacing w:after="80" w:line="300" w:lineRule="auto"/>
        <w:numPr>
          <w:ilvl w:val="0"/>
          <w:numId w:val="10"/>
        </w:numPr>
      </w:pPr>
      <w:r>
        <w:rPr>
          <w:rFonts w:ascii="Calibri" w:hAnsi="Calibri"/>
          <w:sz w:val="22"/>
        </w:rPr>
        <w:t>Documentation and progress ledger are current.</w:t>
      </w:r>
    </w:p>
    <w:p>
      <w:pPr>
        <w:pStyle w:val="Heading1"/>
        <w:keepNext w:val="1"/>
      </w:pPr>
      <w:r>
        <w:rPr>
          <w:rFonts w:ascii="Calibri" w:hAnsi="Calibri"/>
          <w:b/>
          <w:color w:val="2E74B5"/>
          <w:sz w:val="32"/>
        </w:rPr>
        <w:t>17. Observability, SLOs, and Operations</w:t>
      </w:r>
    </w:p>
    <w:p>
      <w:pPr>
        <w:pStyle w:val="Heading2"/>
        <w:keepNext w:val="1"/>
      </w:pPr>
      <w:r>
        <w:rPr>
          <w:rFonts w:ascii="Calibri" w:hAnsi="Calibri"/>
          <w:b/>
          <w:color w:val="2E74B5"/>
          <w:sz w:val="26"/>
        </w:rPr>
        <w:t>17.1 Correlation model</w:t>
      </w:r>
    </w:p>
    <w:p>
      <w:pPr>
        <w:spacing w:after="120" w:line="300" w:lineRule="auto"/>
      </w:pPr>
      <w:r>
        <w:rPr>
          <w:rFonts w:ascii="Calibri" w:hAnsi="Calibri"/>
          <w:sz w:val="22"/>
        </w:rPr>
        <w:t xml:space="preserve">Every trace, structured log, metric, event, and report carries available </w:t>
      </w:r>
      <w:r>
        <w:rPr>
          <w:rFonts w:ascii="Consolas" w:hAnsi="Consolas"/>
          <w:color w:val="1F4D78"/>
          <w:sz w:val="20"/>
        </w:rPr>
        <w:t>tenantId</w:t>
      </w:r>
      <w:r>
        <w:rPr>
          <w:rFonts w:ascii="Calibri" w:hAnsi="Calibri"/>
          <w:sz w:val="22"/>
        </w:rPr>
        <w:t xml:space="preserve">, </w:t>
      </w:r>
      <w:r>
        <w:rPr>
          <w:rFonts w:ascii="Consolas" w:hAnsi="Consolas"/>
          <w:color w:val="1F4D78"/>
          <w:sz w:val="20"/>
        </w:rPr>
        <w:t>workspaceId</w:t>
      </w:r>
      <w:r>
        <w:rPr>
          <w:rFonts w:ascii="Calibri" w:hAnsi="Calibri"/>
          <w:sz w:val="22"/>
        </w:rPr>
        <w:t xml:space="preserve">, </w:t>
      </w:r>
      <w:r>
        <w:rPr>
          <w:rFonts w:ascii="Consolas" w:hAnsi="Consolas"/>
          <w:color w:val="1F4D78"/>
          <w:sz w:val="20"/>
        </w:rPr>
        <w:t>workflowId</w:t>
      </w:r>
      <w:r>
        <w:rPr>
          <w:rFonts w:ascii="Calibri" w:hAnsi="Calibri"/>
          <w:sz w:val="22"/>
        </w:rPr>
        <w:t xml:space="preserve">, </w:t>
      </w:r>
      <w:r>
        <w:rPr>
          <w:rFonts w:ascii="Consolas" w:hAnsi="Consolas"/>
          <w:color w:val="1F4D78"/>
          <w:sz w:val="20"/>
        </w:rPr>
        <w:t>invocationId</w:t>
      </w:r>
      <w:r>
        <w:rPr>
          <w:rFonts w:ascii="Calibri" w:hAnsi="Calibri"/>
          <w:sz w:val="22"/>
        </w:rPr>
        <w:t xml:space="preserve">, </w:t>
      </w:r>
      <w:r>
        <w:rPr>
          <w:rFonts w:ascii="Consolas" w:hAnsi="Consolas"/>
          <w:color w:val="1F4D78"/>
          <w:sz w:val="20"/>
        </w:rPr>
        <w:t>commandId</w:t>
      </w:r>
      <w:r>
        <w:rPr>
          <w:rFonts w:ascii="Calibri" w:hAnsi="Calibri"/>
          <w:sz w:val="22"/>
        </w:rPr>
        <w:t xml:space="preserve">, </w:t>
      </w:r>
      <w:r>
        <w:rPr>
          <w:rFonts w:ascii="Consolas" w:hAnsi="Consolas"/>
          <w:color w:val="1F4D78"/>
          <w:sz w:val="20"/>
        </w:rPr>
        <w:t>correlationId</w:t>
      </w:r>
      <w:r>
        <w:rPr>
          <w:rFonts w:ascii="Calibri" w:hAnsi="Calibri"/>
          <w:sz w:val="22"/>
        </w:rPr>
        <w:t xml:space="preserve">, </w:t>
      </w:r>
      <w:r>
        <w:rPr>
          <w:rFonts w:ascii="Consolas" w:hAnsi="Consolas"/>
          <w:color w:val="1F4D78"/>
          <w:sz w:val="20"/>
        </w:rPr>
        <w:t>causationId</w:t>
      </w:r>
      <w:r>
        <w:rPr>
          <w:rFonts w:ascii="Calibri" w:hAnsi="Calibri"/>
          <w:sz w:val="22"/>
        </w:rPr>
        <w:t xml:space="preserve">, </w:t>
      </w:r>
      <w:r>
        <w:rPr>
          <w:rFonts w:ascii="Consolas" w:hAnsi="Consolas"/>
          <w:color w:val="1F4D78"/>
          <w:sz w:val="20"/>
        </w:rPr>
        <w:t>agentType</w:t>
      </w:r>
      <w:r>
        <w:rPr>
          <w:rFonts w:ascii="Calibri" w:hAnsi="Calibri"/>
          <w:sz w:val="22"/>
        </w:rPr>
        <w:t xml:space="preserve">, </w:t>
      </w:r>
      <w:r>
        <w:rPr>
          <w:rFonts w:ascii="Consolas" w:hAnsi="Consolas"/>
          <w:color w:val="1F4D78"/>
          <w:sz w:val="20"/>
        </w:rPr>
        <w:t>harnessVersion</w:t>
      </w:r>
      <w:r>
        <w:rPr>
          <w:rFonts w:ascii="Calibri" w:hAnsi="Calibri"/>
          <w:sz w:val="22"/>
        </w:rPr>
        <w:t xml:space="preserve">, and </w:t>
      </w:r>
      <w:r>
        <w:rPr>
          <w:rFonts w:ascii="Consolas" w:hAnsi="Consolas"/>
          <w:color w:val="1F4D78"/>
          <w:sz w:val="20"/>
        </w:rPr>
        <w:t>attempt</w:t>
      </w:r>
      <w:r>
        <w:rPr>
          <w:rFonts w:ascii="Calibri" w:hAnsi="Calibri"/>
          <w:sz w:val="22"/>
        </w:rPr>
        <w:t>. High-cardinality identifiers belong in traces/logs, not unbounded metric labels.</w:t>
      </w:r>
    </w:p>
    <w:p>
      <w:pPr>
        <w:pStyle w:val="Heading2"/>
        <w:keepNext w:val="1"/>
      </w:pPr>
      <w:r>
        <w:rPr>
          <w:rFonts w:ascii="Calibri" w:hAnsi="Calibri"/>
          <w:b/>
          <w:color w:val="2E74B5"/>
          <w:sz w:val="26"/>
        </w:rPr>
        <w:t>17.2 Minimum metrics</w:t>
      </w:r>
    </w:p>
    <w:p>
      <w:pPr>
        <w:spacing w:after="80" w:line="300" w:lineRule="auto"/>
        <w:numPr>
          <w:ilvl w:val="0"/>
          <w:numId w:val="10"/>
        </w:numPr>
      </w:pPr>
      <w:r>
        <w:rPr>
          <w:rFonts w:ascii="Calibri" w:hAnsi="Calibri"/>
          <w:sz w:val="22"/>
        </w:rPr>
        <w:t>command rate, latency, failure, idempotent replay, and version conflict;</w:t>
      </w:r>
    </w:p>
    <w:p>
      <w:pPr>
        <w:spacing w:after="80" w:line="300" w:lineRule="auto"/>
        <w:numPr>
          <w:ilvl w:val="0"/>
          <w:numId w:val="10"/>
        </w:numPr>
      </w:pPr>
      <w:r>
        <w:rPr>
          <w:rFonts w:ascii="Calibri" w:hAnsi="Calibri"/>
          <w:sz w:val="22"/>
        </w:rPr>
        <w:t>active workflows by state and age;</w:t>
      </w:r>
    </w:p>
    <w:p>
      <w:pPr>
        <w:spacing w:after="80" w:line="300" w:lineRule="auto"/>
        <w:numPr>
          <w:ilvl w:val="0"/>
          <w:numId w:val="10"/>
        </w:numPr>
      </w:pPr>
      <w:r>
        <w:rPr>
          <w:rFonts w:ascii="Calibri" w:hAnsi="Calibri"/>
          <w:sz w:val="22"/>
        </w:rPr>
        <w:t>plan/replan count and approval wait time;</w:t>
      </w:r>
    </w:p>
    <w:p>
      <w:pPr>
        <w:spacing w:after="80" w:line="300" w:lineRule="auto"/>
        <w:numPr>
          <w:ilvl w:val="0"/>
          <w:numId w:val="10"/>
        </w:numPr>
      </w:pPr>
      <w:r>
        <w:rPr>
          <w:rFonts w:ascii="Calibri" w:hAnsi="Calibri"/>
          <w:sz w:val="22"/>
        </w:rPr>
        <w:t>invocation queue, duration, attempts, failure owner, and cancellation latency;</w:t>
      </w:r>
    </w:p>
    <w:p>
      <w:pPr>
        <w:spacing w:after="80" w:line="300" w:lineRule="auto"/>
        <w:numPr>
          <w:ilvl w:val="0"/>
          <w:numId w:val="10"/>
        </w:numPr>
      </w:pPr>
      <w:r>
        <w:rPr>
          <w:rFonts w:ascii="Calibri" w:hAnsi="Calibri"/>
          <w:sz w:val="22"/>
        </w:rPr>
        <w:t>model calls, tokens, cost, latency, fallback, structured-output repair;</w:t>
      </w:r>
    </w:p>
    <w:p>
      <w:pPr>
        <w:spacing w:after="80" w:line="300" w:lineRule="auto"/>
        <w:numPr>
          <w:ilvl w:val="0"/>
          <w:numId w:val="10"/>
        </w:numPr>
      </w:pPr>
      <w:r>
        <w:rPr>
          <w:rFonts w:ascii="Calibri" w:hAnsi="Calibri"/>
          <w:sz w:val="22"/>
        </w:rPr>
        <w:t>tool calls by decision, duration, denial, and approval;</w:t>
      </w:r>
    </w:p>
    <w:p>
      <w:pPr>
        <w:spacing w:after="80" w:line="300" w:lineRule="auto"/>
        <w:numPr>
          <w:ilvl w:val="0"/>
          <w:numId w:val="10"/>
        </w:numPr>
      </w:pPr>
      <w:r>
        <w:rPr>
          <w:rFonts w:ascii="Calibri" w:hAnsi="Calibri"/>
          <w:sz w:val="22"/>
        </w:rPr>
        <w:t>budget consumed/reserved and reconciliation drift;</w:t>
      </w:r>
    </w:p>
    <w:p>
      <w:pPr>
        <w:spacing w:after="80" w:line="300" w:lineRule="auto"/>
        <w:numPr>
          <w:ilvl w:val="0"/>
          <w:numId w:val="10"/>
        </w:numPr>
      </w:pPr>
      <w:r>
        <w:rPr>
          <w:rFonts w:ascii="Calibri" w:hAnsi="Calibri"/>
          <w:sz w:val="22"/>
        </w:rPr>
        <w:t>outbox lag, publication retries, consumer redelivery, and projection lag;</w:t>
      </w:r>
    </w:p>
    <w:p>
      <w:pPr>
        <w:spacing w:after="80" w:line="300" w:lineRule="auto"/>
        <w:numPr>
          <w:ilvl w:val="0"/>
          <w:numId w:val="10"/>
        </w:numPr>
      </w:pPr>
      <w:r>
        <w:rPr>
          <w:rFonts w:ascii="Calibri" w:hAnsi="Calibri"/>
          <w:sz w:val="22"/>
        </w:rPr>
        <w:t>artifact publication latency, bytes, scan failure, and hash failure;</w:t>
      </w:r>
    </w:p>
    <w:p>
      <w:pPr>
        <w:spacing w:after="80" w:line="300" w:lineRule="auto"/>
        <w:numPr>
          <w:ilvl w:val="0"/>
          <w:numId w:val="10"/>
        </w:numPr>
      </w:pPr>
      <w:r>
        <w:rPr>
          <w:rFonts w:ascii="Calibri" w:hAnsi="Calibri"/>
          <w:sz w:val="22"/>
        </w:rPr>
        <w:t>sandbox startup, resource use, timeout, orphan, and cleanup;</w:t>
      </w:r>
    </w:p>
    <w:p>
      <w:pPr>
        <w:spacing w:after="80" w:line="300" w:lineRule="auto"/>
        <w:numPr>
          <w:ilvl w:val="0"/>
          <w:numId w:val="10"/>
        </w:numPr>
      </w:pPr>
      <w:r>
        <w:rPr>
          <w:rFonts w:ascii="Calibri" w:hAnsi="Calibri"/>
          <w:sz w:val="22"/>
        </w:rPr>
        <w:t>compute offer accuracy, allocation latency, job state, and normalized failure;</w:t>
      </w:r>
    </w:p>
    <w:p>
      <w:pPr>
        <w:spacing w:after="80" w:line="300" w:lineRule="auto"/>
        <w:numPr>
          <w:ilvl w:val="0"/>
          <w:numId w:val="10"/>
        </w:numPr>
      </w:pPr>
      <w:r>
        <w:rPr>
          <w:rFonts w:ascii="Calibri" w:hAnsi="Calibri"/>
          <w:sz w:val="22"/>
        </w:rPr>
        <w:t>deployment health, traffic, rollback trigger, and rollback duration.</w:t>
      </w:r>
    </w:p>
    <w:p>
      <w:pPr>
        <w:pStyle w:val="Heading2"/>
        <w:keepNext w:val="1"/>
      </w:pPr>
      <w:r>
        <w:rPr>
          <w:rFonts w:ascii="Calibri" w:hAnsi="Calibri"/>
          <w:b/>
          <w:color w:val="2E74B5"/>
          <w:sz w:val="26"/>
        </w:rPr>
        <w:t>17.3 Initial SLO targets</w:t>
      </w:r>
    </w:p>
    <w:p>
      <w:pPr>
        <w:spacing w:after="120" w:line="300" w:lineRule="auto"/>
      </w:pPr>
      <w:r>
        <w:rPr>
          <w:rFonts w:ascii="Calibri" w:hAnsi="Calibri"/>
          <w:sz w:val="22"/>
        </w:rPr>
        <w:t>Treat these as launch hypotheses to validate under load:</w:t>
      </w:r>
    </w:p>
    <w:p>
      <w:pPr>
        <w:spacing w:after="80" w:line="300" w:lineRule="auto"/>
        <w:numPr>
          <w:ilvl w:val="0"/>
          <w:numId w:val="10"/>
        </w:numPr>
      </w:pPr>
      <w:r>
        <w:rPr>
          <w:rFonts w:ascii="Calibri" w:hAnsi="Calibri"/>
          <w:sz w:val="22"/>
        </w:rPr>
        <w:t>99.9% monthly availability for command/query API excluding planned maintenance.</w:t>
      </w:r>
    </w:p>
    <w:p>
      <w:pPr>
        <w:spacing w:after="80" w:line="300" w:lineRule="auto"/>
        <w:numPr>
          <w:ilvl w:val="0"/>
          <w:numId w:val="10"/>
        </w:numPr>
      </w:pPr>
      <w:r>
        <w:rPr>
          <w:rFonts w:ascii="Calibri" w:hAnsi="Calibri"/>
          <w:sz w:val="22"/>
        </w:rPr>
        <w:t>99% of accepted commands durably recorded within 1 second.</w:t>
      </w:r>
    </w:p>
    <w:p>
      <w:pPr>
        <w:spacing w:after="80" w:line="300" w:lineRule="auto"/>
        <w:numPr>
          <w:ilvl w:val="0"/>
          <w:numId w:val="10"/>
        </w:numPr>
      </w:pPr>
      <w:r>
        <w:rPr>
          <w:rFonts w:ascii="Calibri" w:hAnsi="Calibri"/>
          <w:sz w:val="22"/>
        </w:rPr>
        <w:t>99% of projection updates visible within 3 seconds of committed event.</w:t>
      </w:r>
    </w:p>
    <w:p>
      <w:pPr>
        <w:spacing w:after="80" w:line="300" w:lineRule="auto"/>
        <w:numPr>
          <w:ilvl w:val="0"/>
          <w:numId w:val="10"/>
        </w:numPr>
      </w:pPr>
      <w:r>
        <w:rPr>
          <w:rFonts w:ascii="Calibri" w:hAnsi="Calibri"/>
          <w:sz w:val="22"/>
        </w:rPr>
        <w:t>99% of cancellation requests acknowledged within 2 seconds; resource termination has backend-specific SLO.</w:t>
      </w:r>
    </w:p>
    <w:p>
      <w:pPr>
        <w:spacing w:after="80" w:line="300" w:lineRule="auto"/>
        <w:numPr>
          <w:ilvl w:val="0"/>
          <w:numId w:val="10"/>
        </w:numPr>
      </w:pPr>
      <w:r>
        <w:rPr>
          <w:rFonts w:ascii="Calibri" w:hAnsi="Calibri"/>
          <w:sz w:val="22"/>
        </w:rPr>
        <w:t>Zero accepted cross-tenant access, unapproved production effect, or hard-budget overrun.</w:t>
      </w:r>
    </w:p>
    <w:p>
      <w:pPr>
        <w:spacing w:after="80" w:line="300" w:lineRule="auto"/>
        <w:numPr>
          <w:ilvl w:val="0"/>
          <w:numId w:val="10"/>
        </w:numPr>
      </w:pPr>
      <w:r>
        <w:rPr>
          <w:rFonts w:ascii="Calibri" w:hAnsi="Calibri"/>
          <w:sz w:val="22"/>
        </w:rPr>
        <w:t>100% of consequential actions represented in audit completeness checks.</w:t>
      </w:r>
    </w:p>
    <w:p>
      <w:pPr>
        <w:spacing w:after="80" w:line="300" w:lineRule="auto"/>
        <w:numPr>
          <w:ilvl w:val="0"/>
          <w:numId w:val="10"/>
        </w:numPr>
      </w:pPr>
      <w:r>
        <w:rPr>
          <w:rFonts w:ascii="Calibri" w:hAnsi="Calibri"/>
          <w:sz w:val="22"/>
        </w:rPr>
        <w:t>100% of published artifacts hash-verifiable and lineage-addressable.</w:t>
      </w:r>
    </w:p>
    <w:p>
      <w:pPr>
        <w:spacing w:after="120" w:line="300" w:lineRule="auto"/>
      </w:pPr>
      <w:r>
        <w:rPr>
          <w:rFonts w:ascii="Calibri" w:hAnsi="Calibri"/>
          <w:sz w:val="22"/>
        </w:rPr>
        <w:t>Security invariants are correctness requirements, not percentage SLOs.</w:t>
      </w:r>
    </w:p>
    <w:p>
      <w:pPr>
        <w:pStyle w:val="Heading1"/>
        <w:keepNext w:val="1"/>
      </w:pPr>
      <w:r>
        <w:rPr>
          <w:rFonts w:ascii="Calibri" w:hAnsi="Calibri"/>
          <w:b/>
          <w:color w:val="2E74B5"/>
          <w:sz w:val="32"/>
        </w:rPr>
        <w:t>18. Security and Privacy Checklist</w:t>
      </w:r>
    </w:p>
    <w:p>
      <w:pPr>
        <w:spacing w:after="120" w:line="300" w:lineRule="auto"/>
      </w:pPr>
      <w:r>
        <w:rPr>
          <w:rFonts w:ascii="Calibri" w:hAnsi="Calibri"/>
          <w:sz w:val="22"/>
        </w:rPr>
        <w:t>Before merging any capability that reads data or causes an effect, answer:</w:t>
      </w:r>
    </w:p>
    <w:p>
      <w:pPr>
        <w:spacing w:after="80" w:line="300" w:lineRule="auto"/>
        <w:numPr>
          <w:ilvl w:val="0"/>
          <w:numId w:val="10"/>
        </w:numPr>
      </w:pPr>
      <w:r>
        <w:rPr>
          <w:rFonts w:ascii="Calibri" w:hAnsi="Calibri"/>
          <w:sz w:val="22"/>
        </w:rPr>
        <w:t>What actor and tenant owns the action?</w:t>
      </w:r>
    </w:p>
    <w:p>
      <w:pPr>
        <w:spacing w:after="80" w:line="300" w:lineRule="auto"/>
        <w:numPr>
          <w:ilvl w:val="0"/>
          <w:numId w:val="10"/>
        </w:numPr>
      </w:pPr>
      <w:r>
        <w:rPr>
          <w:rFonts w:ascii="Calibri" w:hAnsi="Calibri"/>
          <w:sz w:val="22"/>
        </w:rPr>
        <w:t>What exact resource selectors are needed?</w:t>
      </w:r>
    </w:p>
    <w:p>
      <w:pPr>
        <w:spacing w:after="80" w:line="300" w:lineRule="auto"/>
        <w:numPr>
          <w:ilvl w:val="0"/>
          <w:numId w:val="10"/>
        </w:numPr>
      </w:pPr>
      <w:r>
        <w:rPr>
          <w:rFonts w:ascii="Calibri" w:hAnsi="Calibri"/>
          <w:sz w:val="22"/>
        </w:rPr>
        <w:t>What data classification enters model context?</w:t>
      </w:r>
    </w:p>
    <w:p>
      <w:pPr>
        <w:spacing w:after="80" w:line="300" w:lineRule="auto"/>
        <w:numPr>
          <w:ilvl w:val="0"/>
          <w:numId w:val="10"/>
        </w:numPr>
      </w:pPr>
      <w:r>
        <w:rPr>
          <w:rFonts w:ascii="Calibri" w:hAnsi="Calibri"/>
          <w:sz w:val="22"/>
        </w:rPr>
        <w:t>Can a deterministic worker replace the model?</w:t>
      </w:r>
    </w:p>
    <w:p>
      <w:pPr>
        <w:spacing w:after="80" w:line="300" w:lineRule="auto"/>
        <w:numPr>
          <w:ilvl w:val="0"/>
          <w:numId w:val="10"/>
        </w:numPr>
      </w:pPr>
      <w:r>
        <w:rPr>
          <w:rFonts w:ascii="Calibri" w:hAnsi="Calibri"/>
          <w:sz w:val="22"/>
        </w:rPr>
        <w:t>What untrusted content is present and how is it labeled?</w:t>
      </w:r>
    </w:p>
    <w:p>
      <w:pPr>
        <w:spacing w:after="80" w:line="300" w:lineRule="auto"/>
        <w:numPr>
          <w:ilvl w:val="0"/>
          <w:numId w:val="10"/>
        </w:numPr>
      </w:pPr>
      <w:r>
        <w:rPr>
          <w:rFonts w:ascii="Calibri" w:hAnsi="Calibri"/>
          <w:sz w:val="22"/>
        </w:rPr>
        <w:t>Which policy version decides?</w:t>
      </w:r>
    </w:p>
    <w:p>
      <w:pPr>
        <w:spacing w:after="80" w:line="300" w:lineRule="auto"/>
        <w:numPr>
          <w:ilvl w:val="0"/>
          <w:numId w:val="10"/>
        </w:numPr>
      </w:pPr>
      <w:r>
        <w:rPr>
          <w:rFonts w:ascii="Calibri" w:hAnsi="Calibri"/>
          <w:sz w:val="22"/>
        </w:rPr>
        <w:t>Is human approval required, and what exact digest is approved?</w:t>
      </w:r>
    </w:p>
    <w:p>
      <w:pPr>
        <w:spacing w:after="80" w:line="300" w:lineRule="auto"/>
        <w:numPr>
          <w:ilvl w:val="0"/>
          <w:numId w:val="10"/>
        </w:numPr>
      </w:pPr>
      <w:r>
        <w:rPr>
          <w:rFonts w:ascii="Calibri" w:hAnsi="Calibri"/>
          <w:sz w:val="22"/>
        </w:rPr>
        <w:t>How is credential use brokered without returning plaintext?</w:t>
      </w:r>
    </w:p>
    <w:p>
      <w:pPr>
        <w:spacing w:after="80" w:line="300" w:lineRule="auto"/>
        <w:numPr>
          <w:ilvl w:val="0"/>
          <w:numId w:val="10"/>
        </w:numPr>
      </w:pPr>
      <w:r>
        <w:rPr>
          <w:rFonts w:ascii="Calibri" w:hAnsi="Calibri"/>
          <w:sz w:val="22"/>
        </w:rPr>
        <w:t>What cost is reserved before execution?</w:t>
      </w:r>
    </w:p>
    <w:p>
      <w:pPr>
        <w:spacing w:after="80" w:line="300" w:lineRule="auto"/>
        <w:numPr>
          <w:ilvl w:val="0"/>
          <w:numId w:val="10"/>
        </w:numPr>
      </w:pPr>
      <w:r>
        <w:rPr>
          <w:rFonts w:ascii="Calibri" w:hAnsi="Calibri"/>
          <w:sz w:val="22"/>
        </w:rPr>
        <w:t>What audit evidence is emitted?</w:t>
      </w:r>
    </w:p>
    <w:p>
      <w:pPr>
        <w:spacing w:after="80" w:line="300" w:lineRule="auto"/>
        <w:numPr>
          <w:ilvl w:val="0"/>
          <w:numId w:val="10"/>
        </w:numPr>
      </w:pPr>
      <w:r>
        <w:rPr>
          <w:rFonts w:ascii="Calibri" w:hAnsi="Calibri"/>
          <w:sz w:val="22"/>
        </w:rPr>
        <w:t>What is the idempotency and retry behavior?</w:t>
      </w:r>
    </w:p>
    <w:p>
      <w:pPr>
        <w:spacing w:after="80" w:line="300" w:lineRule="auto"/>
        <w:numPr>
          <w:ilvl w:val="0"/>
          <w:numId w:val="10"/>
        </w:numPr>
      </w:pPr>
      <w:r>
        <w:rPr>
          <w:rFonts w:ascii="Calibri" w:hAnsi="Calibri"/>
          <w:sz w:val="22"/>
        </w:rPr>
        <w:t>What is the rollback or compensation path?</w:t>
      </w:r>
    </w:p>
    <w:p>
      <w:pPr>
        <w:spacing w:after="80" w:line="300" w:lineRule="auto"/>
        <w:numPr>
          <w:ilvl w:val="0"/>
          <w:numId w:val="10"/>
        </w:numPr>
      </w:pPr>
      <w:r>
        <w:rPr>
          <w:rFonts w:ascii="Calibri" w:hAnsi="Calibri"/>
          <w:sz w:val="22"/>
        </w:rPr>
        <w:t>How are outputs scanned, validated, redacted, and size-limited?</w:t>
      </w:r>
    </w:p>
    <w:p>
      <w:pPr>
        <w:spacing w:after="80" w:line="300" w:lineRule="auto"/>
        <w:numPr>
          <w:ilvl w:val="0"/>
          <w:numId w:val="10"/>
        </w:numPr>
      </w:pPr>
      <w:r>
        <w:rPr>
          <w:rFonts w:ascii="Calibri" w:hAnsi="Calibri"/>
          <w:sz w:val="22"/>
        </w:rPr>
        <w:t>How does tenant isolation hold at repository, storage, network, and worker layers?</w:t>
      </w:r>
    </w:p>
    <w:p>
      <w:pPr>
        <w:spacing w:after="120" w:line="300" w:lineRule="auto"/>
      </w:pPr>
      <w:r>
        <w:rPr>
          <w:rFonts w:ascii="Calibri" w:hAnsi="Calibri"/>
          <w:sz w:val="22"/>
        </w:rPr>
        <w:t>Any unanswered item blocks production enablement.</w:t>
      </w:r>
    </w:p>
    <w:p>
      <w:pPr>
        <w:pStyle w:val="Heading1"/>
        <w:keepNext w:val="1"/>
      </w:pPr>
      <w:r>
        <w:rPr>
          <w:rFonts w:ascii="Calibri" w:hAnsi="Calibri"/>
          <w:b/>
          <w:color w:val="2E74B5"/>
          <w:sz w:val="32"/>
        </w:rPr>
        <w:t>19. Release and Migration Rules</w:t>
      </w:r>
    </w:p>
    <w:p>
      <w:pPr>
        <w:pStyle w:val="Heading2"/>
        <w:keepNext w:val="1"/>
      </w:pPr>
      <w:r>
        <w:rPr>
          <w:rFonts w:ascii="Calibri" w:hAnsi="Calibri"/>
          <w:b/>
          <w:color w:val="2E74B5"/>
          <w:sz w:val="26"/>
        </w:rPr>
        <w:t>19.1 Database changes</w:t>
      </w:r>
    </w:p>
    <w:p>
      <w:pPr>
        <w:spacing w:after="120" w:line="300" w:lineRule="auto"/>
      </w:pPr>
      <w:r>
        <w:rPr>
          <w:rFonts w:ascii="Calibri" w:hAnsi="Calibri"/>
          <w:sz w:val="22"/>
        </w:rPr>
        <w:t>Use expand/migrate/contract. Deploy additive schema first, dual-read/write when necessary, backfill with resumable jobs, switch reads after verification, then remove old fields in a later release. Migrations must be forward-only in production; rollback uses application compatibility or a corrective migration.</w:t>
      </w:r>
    </w:p>
    <w:p>
      <w:pPr>
        <w:pStyle w:val="Heading2"/>
        <w:keepNext w:val="1"/>
      </w:pPr>
      <w:r>
        <w:rPr>
          <w:rFonts w:ascii="Calibri" w:hAnsi="Calibri"/>
          <w:b/>
          <w:color w:val="2E74B5"/>
          <w:sz w:val="26"/>
        </w:rPr>
        <w:t>19.2 Contract changes</w:t>
      </w:r>
    </w:p>
    <w:p>
      <w:pPr>
        <w:spacing w:after="80" w:line="300" w:lineRule="auto"/>
        <w:numPr>
          <w:ilvl w:val="0"/>
          <w:numId w:val="10"/>
        </w:numPr>
      </w:pPr>
      <w:r>
        <w:rPr>
          <w:rFonts w:ascii="Calibri" w:hAnsi="Calibri"/>
          <w:sz w:val="22"/>
        </w:rPr>
        <w:t>Additive compatible changes update the minor schema version.</w:t>
      </w:r>
    </w:p>
    <w:p>
      <w:pPr>
        <w:spacing w:after="80" w:line="300" w:lineRule="auto"/>
        <w:numPr>
          <w:ilvl w:val="0"/>
          <w:numId w:val="10"/>
        </w:numPr>
      </w:pPr>
      <w:r>
        <w:rPr>
          <w:rFonts w:ascii="Calibri" w:hAnsi="Calibri"/>
          <w:sz w:val="22"/>
        </w:rPr>
        <w:t>Breaking changes create a new endpoint/event/schema version.</w:t>
      </w:r>
    </w:p>
    <w:p>
      <w:pPr>
        <w:spacing w:after="80" w:line="300" w:lineRule="auto"/>
        <w:numPr>
          <w:ilvl w:val="0"/>
          <w:numId w:val="10"/>
        </w:numPr>
      </w:pPr>
      <w:r>
        <w:rPr>
          <w:rFonts w:ascii="Calibri" w:hAnsi="Calibri"/>
          <w:sz w:val="22"/>
        </w:rPr>
        <w:t>Readers tolerate only explicitly documented optional fields; they fail closed on security-critical unknowns.</w:t>
      </w:r>
    </w:p>
    <w:p>
      <w:pPr>
        <w:spacing w:after="80" w:line="300" w:lineRule="auto"/>
        <w:numPr>
          <w:ilvl w:val="0"/>
          <w:numId w:val="10"/>
        </w:numPr>
      </w:pPr>
      <w:r>
        <w:rPr>
          <w:rFonts w:ascii="Calibri" w:hAnsi="Calibri"/>
          <w:sz w:val="22"/>
        </w:rPr>
        <w:t>Keep upcasters deterministic and covered by golden fixtures.</w:t>
      </w:r>
    </w:p>
    <w:p>
      <w:pPr>
        <w:pStyle w:val="Heading2"/>
        <w:keepNext w:val="1"/>
      </w:pPr>
      <w:r>
        <w:rPr>
          <w:rFonts w:ascii="Calibri" w:hAnsi="Calibri"/>
          <w:b/>
          <w:color w:val="2E74B5"/>
          <w:sz w:val="26"/>
        </w:rPr>
        <w:t>19.3 Harness releases</w:t>
      </w:r>
    </w:p>
    <w:p>
      <w:pPr>
        <w:spacing w:after="120" w:line="300" w:lineRule="auto"/>
      </w:pPr>
      <w:r>
        <w:rPr>
          <w:rFonts w:ascii="Calibri" w:hAnsi="Calibri"/>
          <w:sz w:val="22"/>
        </w:rPr>
        <w:t>Every harness release requires schema compatibility, evaluation suite, capability diff, policy review for expanded authority, canary registration, exact version capture, and rollback to the prior registration. In-flight invocations remain pinned to their recorded harness version unless a critical revocation cancels them.</w:t>
      </w:r>
    </w:p>
    <w:p>
      <w:pPr>
        <w:pStyle w:val="Heading2"/>
        <w:keepNext w:val="1"/>
      </w:pPr>
      <w:r>
        <w:rPr>
          <w:rFonts w:ascii="Calibri" w:hAnsi="Calibri"/>
          <w:b/>
          <w:color w:val="2E74B5"/>
          <w:sz w:val="26"/>
        </w:rPr>
        <w:t>19.4 Policy releases</w:t>
      </w:r>
    </w:p>
    <w:p>
      <w:pPr>
        <w:spacing w:after="120" w:line="300" w:lineRule="auto"/>
      </w:pPr>
      <w:r>
        <w:rPr>
          <w:rFonts w:ascii="Calibri" w:hAnsi="Calibri"/>
          <w:sz w:val="22"/>
        </w:rPr>
        <w:t>OPA bundles are versioned, reviewed, signed or integrity-verified, tested against allow/deny fixtures, deployed to a canary, and observed. Decisions record the exact bundle version. Policy service failure defaults to deny for consequential actions.</w:t>
      </w:r>
    </w:p>
    <w:p>
      <w:pPr>
        <w:pStyle w:val="Heading1"/>
        <w:keepNext w:val="1"/>
      </w:pPr>
      <w:r>
        <w:rPr>
          <w:rFonts w:ascii="Calibri" w:hAnsi="Calibri"/>
          <w:b/>
          <w:color w:val="2E74B5"/>
          <w:sz w:val="32"/>
        </w:rPr>
        <w:t>20. Reference End-to-End Acceptance Scenario</w:t>
      </w:r>
    </w:p>
    <w:p>
      <w:pPr>
        <w:spacing w:after="120" w:line="300" w:lineRule="auto"/>
      </w:pPr>
      <w:r>
        <w:rPr>
          <w:rFonts w:ascii="Calibri" w:hAnsi="Calibri"/>
          <w:sz w:val="22"/>
        </w:rPr>
        <w:t>The release-level scenario is:</w:t>
      </w:r>
    </w:p>
    <w:tbl>
      <w:tblPr>
        <w:tblW w:type="dxa" w:w="9360"/>
        <w:jc w:val="left"/>
        <w:tblLayout w:type="fixed"/>
        <w:tblLook w:firstColumn="1" w:firstRow="1" w:lastColumn="0" w:lastRow="0" w:noHBand="0" w:noVBand="1" w:val="04A0"/>
        <w:tblInd w:w="120" w:type="dxa"/>
        <w:tblBorders>
          <w:top w:val="single" w:sz="6" w:color="B9C7D8"/>
          <w:left w:val="single" w:sz="6" w:color="B9C7D8"/>
          <w:bottom w:val="single" w:sz="6" w:color="B9C7D8"/>
          <w:right w:val="single" w:sz="6" w:color="B9C7D8"/>
          <w:insideH w:val="single" w:sz="6" w:color="B9C7D8"/>
          <w:insideV w:val="single" w:sz="6" w:color="B9C7D8"/>
        </w:tblBorders>
      </w:tblPr>
      <w:tblGrid>
        <w:gridCol w:w="9360"/>
      </w:tblGrid>
      <w:tr>
        <w:tc>
          <w:tcPr>
            <w:tcW w:type="dxa" w:w="9360"/>
            <w:tcMar>
              <w:top w:w="80" w:type="dxa"/>
              <w:start w:w="120" w:type="dxa"/>
              <w:bottom w:w="80" w:type="dxa"/>
              <w:end w:w="120" w:type="dxa"/>
            </w:tcMar>
            <w:shd w:fill="F4F6F9"/>
            <w:vAlign w:val="center"/>
          </w:tcPr>
          <w:p>
            <w:pPr>
              <w:spacing w:after="60"/>
            </w:pPr>
            <w:r>
              <w:rPr>
                <w:rFonts w:ascii="Calibri" w:hAnsi="Calibri"/>
                <w:b/>
                <w:color w:val="2E74B5"/>
                <w:sz w:val="18"/>
              </w:rPr>
              <w:t>REFERENCE OBJECTIVE</w:t>
            </w:r>
          </w:p>
          <w:p>
            <w:pPr>
              <w:spacing w:after="0" w:line="276" w:lineRule="auto"/>
            </w:pPr>
            <w:r>
              <w:rPr>
                <w:rFonts w:ascii="Calibri" w:hAnsi="Calibri"/>
                <w:color w:val="0B2545"/>
                <w:sz w:val="21"/>
              </w:rPr>
              <w:t>Fine-tune an approved base model using an approved customer-support-style synthetic dataset, stay below a $250 hard limit, and deploy to 10% of internal test traffic only if the candidate beats the baseline without increasing unsafe-response rate.</w:t>
            </w:r>
          </w:p>
        </w:tc>
      </w:tr>
    </w:tbl>
    <w:p>
      <w:pPr>
        <w:spacing w:after="120" w:line="300" w:lineRule="auto"/>
      </w:pPr>
      <w:r>
        <w:rPr>
          <w:rFonts w:ascii="Calibri" w:hAnsi="Calibri"/>
          <w:sz w:val="22"/>
        </w:rPr>
        <w:t>Expected flow:</w:t>
      </w:r>
    </w:p>
    <w:p>
      <w:pPr>
        <w:spacing w:after="80" w:line="300" w:lineRule="auto"/>
        <w:numPr>
          <w:ilvl w:val="0"/>
          <w:numId w:val="19"/>
        </w:numPr>
      </w:pPr>
      <w:r>
        <w:rPr>
          <w:rFonts w:ascii="Calibri" w:hAnsi="Calibri"/>
          <w:sz w:val="22"/>
        </w:rPr>
        <w:t xml:space="preserve">API accepts an idempotent </w:t>
      </w:r>
      <w:r>
        <w:rPr>
          <w:rFonts w:ascii="Consolas" w:hAnsi="Consolas"/>
          <w:color w:val="1F4D78"/>
          <w:sz w:val="20"/>
        </w:rPr>
        <w:t>CreateModelCandidate</w:t>
      </w:r>
      <w:r>
        <w:rPr>
          <w:rFonts w:ascii="Calibri" w:hAnsi="Calibri"/>
          <w:sz w:val="22"/>
        </w:rPr>
        <w:t xml:space="preserve"> command.</w:t>
      </w:r>
    </w:p>
    <w:p>
      <w:pPr>
        <w:spacing w:after="80" w:line="300" w:lineRule="auto"/>
        <w:numPr>
          <w:ilvl w:val="0"/>
          <w:numId w:val="19"/>
        </w:numPr>
      </w:pPr>
      <w:r>
        <w:rPr>
          <w:rFonts w:ascii="Calibri" w:hAnsi="Calibri"/>
          <w:sz w:val="22"/>
        </w:rPr>
        <w:t>Tier 0 plans Governance, Data Engineer, ML Engineer, Cluster, MLOps, Eval, and Deployment steps.</w:t>
      </w:r>
    </w:p>
    <w:p>
      <w:pPr>
        <w:spacing w:after="80" w:line="300" w:lineRule="auto"/>
        <w:numPr>
          <w:ilvl w:val="0"/>
          <w:numId w:val="19"/>
        </w:numPr>
      </w:pPr>
      <w:r>
        <w:rPr>
          <w:rFonts w:ascii="Calibri" w:hAnsi="Calibri"/>
          <w:sz w:val="22"/>
        </w:rPr>
        <w:t>Governance approves data with masking and retention constraints.</w:t>
      </w:r>
    </w:p>
    <w:p>
      <w:pPr>
        <w:spacing w:after="80" w:line="300" w:lineRule="auto"/>
        <w:numPr>
          <w:ilvl w:val="0"/>
          <w:numId w:val="19"/>
        </w:numPr>
      </w:pPr>
      <w:r>
        <w:rPr>
          <w:rFonts w:ascii="Calibri" w:hAnsi="Calibri"/>
          <w:sz w:val="22"/>
        </w:rPr>
        <w:t>Data Engineer publishes immutable train/validation/test splits with hashes and leakage report.</w:t>
      </w:r>
    </w:p>
    <w:p>
      <w:pPr>
        <w:spacing w:after="80" w:line="300" w:lineRule="auto"/>
        <w:numPr>
          <w:ilvl w:val="0"/>
          <w:numId w:val="19"/>
        </w:numPr>
      </w:pPr>
      <w:r>
        <w:rPr>
          <w:rFonts w:ascii="Calibri" w:hAnsi="Calibri"/>
          <w:sz w:val="22"/>
        </w:rPr>
        <w:t>ML Engineer selects LoRA candidates and publishes configurations plus source revision.</w:t>
      </w:r>
    </w:p>
    <w:p>
      <w:pPr>
        <w:spacing w:after="80" w:line="300" w:lineRule="auto"/>
        <w:numPr>
          <w:ilvl w:val="0"/>
          <w:numId w:val="19"/>
        </w:numPr>
      </w:pPr>
      <w:r>
        <w:rPr>
          <w:rFonts w:ascii="Calibri" w:hAnsi="Calibri"/>
          <w:sz w:val="22"/>
        </w:rPr>
        <w:t>Cluster supplies expiring offers; FinOps reserves approved cost.</w:t>
      </w:r>
    </w:p>
    <w:p>
      <w:pPr>
        <w:spacing w:after="80" w:line="300" w:lineRule="auto"/>
        <w:numPr>
          <w:ilvl w:val="0"/>
          <w:numId w:val="19"/>
        </w:numPr>
      </w:pPr>
      <w:r>
        <w:rPr>
          <w:rFonts w:ascii="Calibri" w:hAnsi="Calibri"/>
          <w:sz w:val="22"/>
        </w:rPr>
        <w:t>A deliberate OOM is classified; ML Engineer adjusts micro-batch while effective batch is preserved; Cluster confirms no larger allocation is needed.</w:t>
      </w:r>
    </w:p>
    <w:p>
      <w:pPr>
        <w:spacing w:after="80" w:line="300" w:lineRule="auto"/>
        <w:numPr>
          <w:ilvl w:val="0"/>
          <w:numId w:val="19"/>
        </w:numPr>
      </w:pPr>
      <w:r>
        <w:rPr>
          <w:rFonts w:ascii="Calibri" w:hAnsi="Calibri"/>
          <w:sz w:val="22"/>
        </w:rPr>
        <w:t>MLOps registers checkpoint, run, environment, and complete lineage.</w:t>
      </w:r>
    </w:p>
    <w:p>
      <w:pPr>
        <w:spacing w:after="80" w:line="300" w:lineRule="auto"/>
        <w:numPr>
          <w:ilvl w:val="0"/>
          <w:numId w:val="19"/>
        </w:numPr>
      </w:pPr>
      <w:r>
        <w:rPr>
          <w:rFonts w:ascii="Calibri" w:hAnsi="Calibri"/>
          <w:sz w:val="22"/>
        </w:rPr>
        <w:t>Eval independently runs fixed benchmarks and recommends promote only when thresholds pass.</w:t>
      </w:r>
    </w:p>
    <w:p>
      <w:pPr>
        <w:spacing w:after="80" w:line="300" w:lineRule="auto"/>
        <w:numPr>
          <w:ilvl w:val="0"/>
          <w:numId w:val="19"/>
        </w:numPr>
      </w:pPr>
      <w:r>
        <w:rPr>
          <w:rFonts w:ascii="Calibri" w:hAnsi="Calibri"/>
          <w:sz w:val="22"/>
        </w:rPr>
        <w:t>Approval binds to exact model version, target, 10% traffic, and cost.</w:t>
      </w:r>
    </w:p>
    <w:p>
      <w:pPr>
        <w:spacing w:after="80" w:line="300" w:lineRule="auto"/>
        <w:numPr>
          <w:ilvl w:val="0"/>
          <w:numId w:val="19"/>
        </w:numPr>
      </w:pPr>
      <w:r>
        <w:rPr>
          <w:rFonts w:ascii="Calibri" w:hAnsi="Calibri"/>
          <w:sz w:val="22"/>
        </w:rPr>
        <w:t>Deployment provisions, smoke-tests, shifts 10%, observes, and can automatically roll back.</w:t>
      </w:r>
    </w:p>
    <w:p>
      <w:pPr>
        <w:spacing w:after="80" w:line="300" w:lineRule="auto"/>
        <w:numPr>
          <w:ilvl w:val="0"/>
          <w:numId w:val="19"/>
        </w:numPr>
      </w:pPr>
      <w:r>
        <w:rPr>
          <w:rFonts w:ascii="Calibri" w:hAnsi="Calibri"/>
          <w:sz w:val="22"/>
        </w:rPr>
        <w:t>Tier 0 reports artifacts, decisions, rollout, failures/retries, and reconciled cost from projections.</w:t>
      </w:r>
    </w:p>
    <w:p>
      <w:pPr>
        <w:pStyle w:val="Heading2"/>
        <w:keepNext w:val="1"/>
      </w:pPr>
      <w:r>
        <w:rPr>
          <w:rFonts w:ascii="Calibri" w:hAnsi="Calibri"/>
          <w:b/>
          <w:color w:val="2E74B5"/>
          <w:sz w:val="26"/>
        </w:rPr>
        <w:t>20.1 Failure injections</w:t>
      </w:r>
    </w:p>
    <w:p>
      <w:pPr>
        <w:spacing w:after="120" w:line="300" w:lineRule="auto"/>
      </w:pPr>
      <w:r>
        <w:rPr>
          <w:rFonts w:ascii="Calibri" w:hAnsi="Calibri"/>
          <w:sz w:val="22"/>
        </w:rPr>
        <w:t>The same scenario must test:</w:t>
      </w:r>
    </w:p>
    <w:p>
      <w:pPr>
        <w:spacing w:after="80" w:line="300" w:lineRule="auto"/>
        <w:numPr>
          <w:ilvl w:val="0"/>
          <w:numId w:val="10"/>
        </w:numPr>
      </w:pPr>
      <w:r>
        <w:rPr>
          <w:rFonts w:ascii="Calibri" w:hAnsi="Calibri"/>
          <w:sz w:val="22"/>
        </w:rPr>
        <w:t>duplicate initial command;</w:t>
      </w:r>
    </w:p>
    <w:p>
      <w:pPr>
        <w:spacing w:after="80" w:line="300" w:lineRule="auto"/>
        <w:numPr>
          <w:ilvl w:val="0"/>
          <w:numId w:val="10"/>
        </w:numPr>
      </w:pPr>
      <w:r>
        <w:rPr>
          <w:rFonts w:ascii="Calibri" w:hAnsi="Calibri"/>
          <w:sz w:val="22"/>
        </w:rPr>
        <w:t>human training-config edit during execution;</w:t>
      </w:r>
    </w:p>
    <w:p>
      <w:pPr>
        <w:spacing w:after="80" w:line="300" w:lineRule="auto"/>
        <w:numPr>
          <w:ilvl w:val="0"/>
          <w:numId w:val="10"/>
        </w:numPr>
      </w:pPr>
      <w:r>
        <w:rPr>
          <w:rFonts w:ascii="Calibri" w:hAnsi="Calibri"/>
          <w:sz w:val="22"/>
        </w:rPr>
        <w:t>expired compute offer;</w:t>
      </w:r>
    </w:p>
    <w:p>
      <w:pPr>
        <w:spacing w:after="80" w:line="300" w:lineRule="auto"/>
        <w:numPr>
          <w:ilvl w:val="0"/>
          <w:numId w:val="10"/>
        </w:numPr>
      </w:pPr>
      <w:r>
        <w:rPr>
          <w:rFonts w:ascii="Calibri" w:hAnsi="Calibri"/>
          <w:sz w:val="22"/>
        </w:rPr>
        <w:t>budget increase over approval digest;</w:t>
      </w:r>
    </w:p>
    <w:p>
      <w:pPr>
        <w:spacing w:after="80" w:line="300" w:lineRule="auto"/>
        <w:numPr>
          <w:ilvl w:val="0"/>
          <w:numId w:val="10"/>
        </w:numPr>
      </w:pPr>
      <w:r>
        <w:rPr>
          <w:rFonts w:ascii="Calibri" w:hAnsi="Calibri"/>
          <w:sz w:val="22"/>
        </w:rPr>
        <w:t>worker crash after external effect but before acknowledgment;</w:t>
      </w:r>
    </w:p>
    <w:p>
      <w:pPr>
        <w:spacing w:after="80" w:line="300" w:lineRule="auto"/>
        <w:numPr>
          <w:ilvl w:val="0"/>
          <w:numId w:val="10"/>
        </w:numPr>
      </w:pPr>
      <w:r>
        <w:rPr>
          <w:rFonts w:ascii="Calibri" w:hAnsi="Calibri"/>
          <w:sz w:val="22"/>
        </w:rPr>
        <w:t>NATS duplicate delivery;</w:t>
      </w:r>
    </w:p>
    <w:p>
      <w:pPr>
        <w:spacing w:after="80" w:line="300" w:lineRule="auto"/>
        <w:numPr>
          <w:ilvl w:val="0"/>
          <w:numId w:val="10"/>
        </w:numPr>
      </w:pPr>
      <w:r>
        <w:rPr>
          <w:rFonts w:ascii="Calibri" w:hAnsi="Calibri"/>
          <w:sz w:val="22"/>
        </w:rPr>
        <w:t>invalid model report claiming a nonexistent artifact;</w:t>
      </w:r>
    </w:p>
    <w:p>
      <w:pPr>
        <w:spacing w:after="80" w:line="300" w:lineRule="auto"/>
        <w:numPr>
          <w:ilvl w:val="0"/>
          <w:numId w:val="10"/>
        </w:numPr>
      </w:pPr>
      <w:r>
        <w:rPr>
          <w:rFonts w:ascii="Calibri" w:hAnsi="Calibri"/>
          <w:sz w:val="22"/>
        </w:rPr>
        <w:t>malicious dataset text asking for credentials;</w:t>
      </w:r>
    </w:p>
    <w:p>
      <w:pPr>
        <w:spacing w:after="80" w:line="300" w:lineRule="auto"/>
        <w:numPr>
          <w:ilvl w:val="0"/>
          <w:numId w:val="10"/>
        </w:numPr>
      </w:pPr>
      <w:r>
        <w:rPr>
          <w:rFonts w:ascii="Calibri" w:hAnsi="Calibri"/>
          <w:sz w:val="22"/>
        </w:rPr>
        <w:t>evaluation regression;</w:t>
      </w:r>
    </w:p>
    <w:p>
      <w:pPr>
        <w:spacing w:after="80" w:line="300" w:lineRule="auto"/>
        <w:numPr>
          <w:ilvl w:val="0"/>
          <w:numId w:val="10"/>
        </w:numPr>
      </w:pPr>
      <w:r>
        <w:rPr>
          <w:rFonts w:ascii="Calibri" w:hAnsi="Calibri"/>
          <w:sz w:val="22"/>
        </w:rPr>
        <w:t>canary health failure and rollback;</w:t>
      </w:r>
    </w:p>
    <w:p>
      <w:pPr>
        <w:spacing w:after="80" w:line="300" w:lineRule="auto"/>
        <w:numPr>
          <w:ilvl w:val="0"/>
          <w:numId w:val="10"/>
        </w:numPr>
      </w:pPr>
      <w:r>
        <w:rPr>
          <w:rFonts w:ascii="Calibri" w:hAnsi="Calibri"/>
          <w:sz w:val="22"/>
        </w:rPr>
        <w:t>user cancellation during training.</w:t>
      </w:r>
    </w:p>
    <w:p>
      <w:pPr>
        <w:spacing w:after="120" w:line="300" w:lineRule="auto"/>
      </w:pPr>
      <w:r>
        <w:rPr>
          <w:rFonts w:ascii="Calibri" w:hAnsi="Calibri"/>
          <w:sz w:val="22"/>
        </w:rPr>
        <w:t>No failure may create duplicate durable effects, untracked cost, invalid approval reuse, secret exposure, or inconsistent final projections.</w:t>
      </w:r>
    </w:p>
    <w:p>
      <w:pPr>
        <w:pStyle w:val="Heading1"/>
        <w:keepNext w:val="1"/>
      </w:pPr>
      <w:r>
        <w:rPr>
          <w:rFonts w:ascii="Calibri" w:hAnsi="Calibri"/>
          <w:b/>
          <w:color w:val="2E74B5"/>
          <w:sz w:val="32"/>
        </w:rPr>
        <w:t>21. Decision and Change Control</w:t>
      </w:r>
    </w:p>
    <w:p>
      <w:pPr>
        <w:pStyle w:val="Heading2"/>
        <w:keepNext w:val="1"/>
      </w:pPr>
      <w:r>
        <w:rPr>
          <w:rFonts w:ascii="Calibri" w:hAnsi="Calibri"/>
          <w:b/>
          <w:color w:val="2E74B5"/>
          <w:sz w:val="26"/>
        </w:rPr>
        <w:t>21.1 ADR template</w:t>
      </w:r>
    </w:p>
    <w:p>
      <w:pPr>
        <w:spacing w:after="120" w:line="300" w:lineRule="auto"/>
      </w:pPr>
      <w:r>
        <w:rPr>
          <w:rFonts w:ascii="Calibri" w:hAnsi="Calibri"/>
          <w:sz w:val="22"/>
        </w:rPr>
        <w:t>Each ADR includes status, date, owners, context, decision, alternatives, consequences, security impact, operational impact, migration, rollback, and affected invariants/contracts.</w:t>
      </w:r>
    </w:p>
    <w:p>
      <w:pPr>
        <w:pStyle w:val="Heading2"/>
        <w:keepNext w:val="1"/>
      </w:pPr>
      <w:r>
        <w:rPr>
          <w:rFonts w:ascii="Calibri" w:hAnsi="Calibri"/>
          <w:b/>
          <w:color w:val="2E74B5"/>
          <w:sz w:val="26"/>
        </w:rPr>
        <w:t>21.2 Changes requiring explicit human approval</w:t>
      </w:r>
    </w:p>
    <w:p>
      <w:pPr>
        <w:spacing w:after="80" w:line="300" w:lineRule="auto"/>
        <w:numPr>
          <w:ilvl w:val="0"/>
          <w:numId w:val="10"/>
        </w:numPr>
      </w:pPr>
      <w:r>
        <w:rPr>
          <w:rFonts w:ascii="Calibri" w:hAnsi="Calibri"/>
          <w:sz w:val="22"/>
        </w:rPr>
        <w:t>weakening or changing any fixed invariant;</w:t>
      </w:r>
    </w:p>
    <w:p>
      <w:pPr>
        <w:spacing w:after="80" w:line="300" w:lineRule="auto"/>
        <w:numPr>
          <w:ilvl w:val="0"/>
          <w:numId w:val="10"/>
        </w:numPr>
      </w:pPr>
      <w:r>
        <w:rPr>
          <w:rFonts w:ascii="Calibri" w:hAnsi="Calibri"/>
          <w:sz w:val="22"/>
        </w:rPr>
        <w:t>enabling production data or credentials;</w:t>
      </w:r>
    </w:p>
    <w:p>
      <w:pPr>
        <w:spacing w:after="80" w:line="300" w:lineRule="auto"/>
        <w:numPr>
          <w:ilvl w:val="0"/>
          <w:numId w:val="10"/>
        </w:numPr>
      </w:pPr>
      <w:r>
        <w:rPr>
          <w:rFonts w:ascii="Calibri" w:hAnsi="Calibri"/>
          <w:sz w:val="22"/>
        </w:rPr>
        <w:t>adding a new consequential tool capability;</w:t>
      </w:r>
    </w:p>
    <w:p>
      <w:pPr>
        <w:spacing w:after="80" w:line="300" w:lineRule="auto"/>
        <w:numPr>
          <w:ilvl w:val="0"/>
          <w:numId w:val="10"/>
        </w:numPr>
      </w:pPr>
      <w:r>
        <w:rPr>
          <w:rFonts w:ascii="Calibri" w:hAnsi="Calibri"/>
          <w:sz w:val="22"/>
        </w:rPr>
        <w:t>changing tenant isolation or encryption design;</w:t>
      </w:r>
    </w:p>
    <w:p>
      <w:pPr>
        <w:spacing w:after="80" w:line="300" w:lineRule="auto"/>
        <w:numPr>
          <w:ilvl w:val="0"/>
          <w:numId w:val="10"/>
        </w:numPr>
      </w:pPr>
      <w:r>
        <w:rPr>
          <w:rFonts w:ascii="Calibri" w:hAnsi="Calibri"/>
          <w:sz w:val="22"/>
        </w:rPr>
        <w:t>altering approval scope or bypass behavior;</w:t>
      </w:r>
    </w:p>
    <w:p>
      <w:pPr>
        <w:spacing w:after="80" w:line="300" w:lineRule="auto"/>
        <w:numPr>
          <w:ilvl w:val="0"/>
          <w:numId w:val="10"/>
        </w:numPr>
      </w:pPr>
      <w:r>
        <w:rPr>
          <w:rFonts w:ascii="Calibri" w:hAnsi="Calibri"/>
          <w:sz w:val="22"/>
        </w:rPr>
        <w:t>increasing default budget or compute authority;</w:t>
      </w:r>
    </w:p>
    <w:p>
      <w:pPr>
        <w:spacing w:after="80" w:line="300" w:lineRule="auto"/>
        <w:numPr>
          <w:ilvl w:val="0"/>
          <w:numId w:val="10"/>
        </w:numPr>
      </w:pPr>
      <w:r>
        <w:rPr>
          <w:rFonts w:ascii="Calibri" w:hAnsi="Calibri"/>
          <w:sz w:val="22"/>
        </w:rPr>
        <w:t>enabling model or connector publication;</w:t>
      </w:r>
    </w:p>
    <w:p>
      <w:pPr>
        <w:spacing w:after="80" w:line="300" w:lineRule="auto"/>
        <w:numPr>
          <w:ilvl w:val="0"/>
          <w:numId w:val="10"/>
        </w:numPr>
      </w:pPr>
      <w:r>
        <w:rPr>
          <w:rFonts w:ascii="Calibri" w:hAnsi="Calibri"/>
          <w:sz w:val="22"/>
        </w:rPr>
        <w:t>enabling serving traffic changes;</w:t>
      </w:r>
    </w:p>
    <w:p>
      <w:pPr>
        <w:spacing w:after="80" w:line="300" w:lineRule="auto"/>
        <w:numPr>
          <w:ilvl w:val="0"/>
          <w:numId w:val="10"/>
        </w:numPr>
      </w:pPr>
      <w:r>
        <w:rPr>
          <w:rFonts w:ascii="Calibri" w:hAnsi="Calibri"/>
          <w:sz w:val="22"/>
        </w:rPr>
        <w:t>selecting a new hosted provider with data residency impact;</w:t>
      </w:r>
    </w:p>
    <w:p>
      <w:pPr>
        <w:spacing w:after="80" w:line="300" w:lineRule="auto"/>
        <w:numPr>
          <w:ilvl w:val="0"/>
          <w:numId w:val="10"/>
        </w:numPr>
      </w:pPr>
      <w:r>
        <w:rPr>
          <w:rFonts w:ascii="Calibri" w:hAnsi="Calibri"/>
          <w:sz w:val="22"/>
        </w:rPr>
        <w:t>destructive migration or irreversible data retention change.</w:t>
      </w:r>
    </w:p>
    <w:p>
      <w:pPr>
        <w:pStyle w:val="Heading2"/>
        <w:keepNext w:val="1"/>
      </w:pPr>
      <w:r>
        <w:rPr>
          <w:rFonts w:ascii="Calibri" w:hAnsi="Calibri"/>
          <w:b/>
          <w:color w:val="2E74B5"/>
          <w:sz w:val="26"/>
        </w:rPr>
        <w:t>21.3 Open decisions to resolve before their phase</w:t>
      </w:r>
    </w:p>
    <w:p>
      <w:pPr>
        <w:spacing w:after="80" w:line="300" w:lineRule="auto"/>
        <w:numPr>
          <w:ilvl w:val="0"/>
          <w:numId w:val="10"/>
        </w:numPr>
      </w:pPr>
      <w:r>
        <w:rPr>
          <w:rFonts w:ascii="Calibri" w:hAnsi="Calibri"/>
          <w:sz w:val="22"/>
        </w:rPr>
        <w:t>authentication/identity provider and enterprise federation requirements;</w:t>
      </w:r>
    </w:p>
    <w:p>
      <w:pPr>
        <w:spacing w:after="80" w:line="300" w:lineRule="auto"/>
        <w:numPr>
          <w:ilvl w:val="0"/>
          <w:numId w:val="10"/>
        </w:numPr>
      </w:pPr>
      <w:r>
        <w:rPr>
          <w:rFonts w:ascii="Calibri" w:hAnsi="Calibri"/>
          <w:sz w:val="22"/>
        </w:rPr>
        <w:t>supported cloud and Kubernetes distribution;</w:t>
      </w:r>
    </w:p>
    <w:p>
      <w:pPr>
        <w:spacing w:after="80" w:line="300" w:lineRule="auto"/>
        <w:numPr>
          <w:ilvl w:val="0"/>
          <w:numId w:val="10"/>
        </w:numPr>
      </w:pPr>
      <w:r>
        <w:rPr>
          <w:rFonts w:ascii="Calibri" w:hAnsi="Calibri"/>
          <w:sz w:val="22"/>
        </w:rPr>
        <w:t>object-storage region, retention, and customer-managed key requirements;</w:t>
      </w:r>
    </w:p>
    <w:p>
      <w:pPr>
        <w:spacing w:after="80" w:line="300" w:lineRule="auto"/>
        <w:numPr>
          <w:ilvl w:val="0"/>
          <w:numId w:val="10"/>
        </w:numPr>
      </w:pPr>
      <w:r>
        <w:rPr>
          <w:rFonts w:ascii="Calibri" w:hAnsi="Calibri"/>
          <w:sz w:val="22"/>
        </w:rPr>
        <w:t>model providers and data-processing restrictions;</w:t>
      </w:r>
    </w:p>
    <w:p>
      <w:pPr>
        <w:spacing w:after="80" w:line="300" w:lineRule="auto"/>
        <w:numPr>
          <w:ilvl w:val="0"/>
          <w:numId w:val="10"/>
        </w:numPr>
      </w:pPr>
      <w:r>
        <w:rPr>
          <w:rFonts w:ascii="Calibri" w:hAnsi="Calibri"/>
          <w:sz w:val="22"/>
        </w:rPr>
        <w:t>experiment tracker priority after local backend;</w:t>
      </w:r>
    </w:p>
    <w:p>
      <w:pPr>
        <w:spacing w:after="80" w:line="300" w:lineRule="auto"/>
        <w:numPr>
          <w:ilvl w:val="0"/>
          <w:numId w:val="10"/>
        </w:numPr>
      </w:pPr>
      <w:r>
        <w:rPr>
          <w:rFonts w:ascii="Calibri" w:hAnsi="Calibri"/>
          <w:sz w:val="22"/>
        </w:rPr>
        <w:t>production model-serving platform;</w:t>
      </w:r>
    </w:p>
    <w:p>
      <w:pPr>
        <w:spacing w:after="80" w:line="300" w:lineRule="auto"/>
        <w:numPr>
          <w:ilvl w:val="0"/>
          <w:numId w:val="10"/>
        </w:numPr>
      </w:pPr>
      <w:r>
        <w:rPr>
          <w:rFonts w:ascii="Calibri" w:hAnsi="Calibri"/>
          <w:sz w:val="22"/>
        </w:rPr>
        <w:t>catalog integration target;</w:t>
      </w:r>
    </w:p>
    <w:p>
      <w:pPr>
        <w:spacing w:after="80" w:line="300" w:lineRule="auto"/>
        <w:numPr>
          <w:ilvl w:val="0"/>
          <w:numId w:val="10"/>
        </w:numPr>
      </w:pPr>
      <w:r>
        <w:rPr>
          <w:rFonts w:ascii="Calibri" w:hAnsi="Calibri"/>
          <w:sz w:val="22"/>
        </w:rPr>
        <w:t>SLURM priority and environment;</w:t>
      </w:r>
    </w:p>
    <w:p>
      <w:pPr>
        <w:spacing w:after="80" w:line="300" w:lineRule="auto"/>
        <w:numPr>
          <w:ilvl w:val="0"/>
          <w:numId w:val="10"/>
        </w:numPr>
      </w:pPr>
      <w:r>
        <w:rPr>
          <w:rFonts w:ascii="Calibri" w:hAnsi="Calibri"/>
          <w:sz w:val="22"/>
        </w:rPr>
        <w:t>compliance frameworks and audit retention;</w:t>
      </w:r>
    </w:p>
    <w:p>
      <w:pPr>
        <w:spacing w:after="80" w:line="300" w:lineRule="auto"/>
        <w:numPr>
          <w:ilvl w:val="0"/>
          <w:numId w:val="10"/>
        </w:numPr>
      </w:pPr>
      <w:r>
        <w:rPr>
          <w:rFonts w:ascii="Calibri" w:hAnsi="Calibri"/>
          <w:sz w:val="22"/>
        </w:rPr>
        <w:t>single-region versus multi-region launch posture.</w:t>
      </w:r>
    </w:p>
    <w:p>
      <w:pPr>
        <w:pStyle w:val="Heading1"/>
        <w:keepNext w:val="1"/>
      </w:pPr>
      <w:r>
        <w:rPr>
          <w:rFonts w:ascii="Calibri" w:hAnsi="Calibri"/>
          <w:b/>
          <w:color w:val="2E74B5"/>
          <w:sz w:val="32"/>
        </w:rPr>
        <w:t>22. Official Implementation References</w:t>
      </w:r>
    </w:p>
    <w:p>
      <w:pPr>
        <w:spacing w:after="120" w:line="300" w:lineRule="auto"/>
      </w:pPr>
      <w:r>
        <w:rPr>
          <w:rFonts w:ascii="Calibri" w:hAnsi="Calibri"/>
          <w:sz w:val="22"/>
        </w:rPr>
        <w:t>Use primary documentation during implementation and pin the exact behavior proven by tests:</w:t>
      </w:r>
    </w:p>
    <w:p>
      <w:pPr>
        <w:spacing w:after="80" w:line="300" w:lineRule="auto"/>
        <w:numPr>
          <w:ilvl w:val="0"/>
          <w:numId w:val="10"/>
        </w:numPr>
      </w:pPr>
      <w:r>
        <w:rPr>
          <w:rFonts w:ascii="Calibri" w:hAnsi="Calibri"/>
          <w:sz w:val="22"/>
        </w:rPr>
        <w:t xml:space="preserve">Temporal durable execution and TypeScript SDK: </w:t>
      </w:r>
      <w:r>
        <w:rPr>
          <w:rFonts w:ascii="Calibri" w:hAnsi="Calibri"/>
          <w:color w:val="2E74B5"/>
          <w:sz w:val="22"/>
          <w:u w:val="single"/>
        </w:rPr>
        <w:t>https://docs.temporal.io/</w:t>
      </w:r>
    </w:p>
    <w:p>
      <w:pPr>
        <w:spacing w:after="80" w:line="300" w:lineRule="auto"/>
        <w:numPr>
          <w:ilvl w:val="0"/>
          <w:numId w:val="10"/>
        </w:numPr>
      </w:pPr>
      <w:r>
        <w:rPr>
          <w:rFonts w:ascii="Calibri" w:hAnsi="Calibri"/>
          <w:sz w:val="22"/>
        </w:rPr>
        <w:t xml:space="preserve">NATS JetStream persistence, consumers, deduplication, and replay: </w:t>
      </w:r>
      <w:r>
        <w:rPr>
          <w:rFonts w:ascii="Calibri" w:hAnsi="Calibri"/>
          <w:color w:val="2E74B5"/>
          <w:sz w:val="22"/>
          <w:u w:val="single"/>
        </w:rPr>
        <w:t>https://docs.nats.io/nats-concepts/jetstream</w:t>
      </w:r>
    </w:p>
    <w:p>
      <w:pPr>
        <w:spacing w:after="80" w:line="300" w:lineRule="auto"/>
        <w:numPr>
          <w:ilvl w:val="0"/>
          <w:numId w:val="10"/>
        </w:numPr>
      </w:pPr>
      <w:r>
        <w:rPr>
          <w:rFonts w:ascii="Calibri" w:hAnsi="Calibri"/>
          <w:sz w:val="22"/>
        </w:rPr>
        <w:t xml:space="preserve">Open Policy Agent REST API and versioned bundles: </w:t>
      </w:r>
      <w:r>
        <w:rPr>
          <w:rFonts w:ascii="Calibri" w:hAnsi="Calibri"/>
          <w:color w:val="2E74B5"/>
          <w:sz w:val="22"/>
          <w:u w:val="single"/>
        </w:rPr>
        <w:t>https://www.openpolicyagent.org/docs/rest-api</w:t>
      </w:r>
      <w:r>
        <w:rPr>
          <w:rFonts w:ascii="Calibri" w:hAnsi="Calibri"/>
          <w:sz w:val="22"/>
        </w:rPr>
        <w:t xml:space="preserve"> and </w:t>
      </w:r>
      <w:r>
        <w:rPr>
          <w:rFonts w:ascii="Calibri" w:hAnsi="Calibri"/>
          <w:color w:val="2E74B5"/>
          <w:sz w:val="22"/>
          <w:u w:val="single"/>
        </w:rPr>
        <w:t>https://www.openpolicyagent.org/docs/management-bundles</w:t>
      </w:r>
    </w:p>
    <w:p>
      <w:pPr>
        <w:spacing w:after="80" w:line="300" w:lineRule="auto"/>
        <w:numPr>
          <w:ilvl w:val="0"/>
          <w:numId w:val="10"/>
        </w:numPr>
      </w:pPr>
      <w:r>
        <w:rPr>
          <w:rFonts w:ascii="Calibri" w:hAnsi="Calibri"/>
          <w:sz w:val="22"/>
        </w:rPr>
        <w:t xml:space="preserve">Cline Agent/AgentRuntime API and SDK repository: </w:t>
      </w:r>
      <w:r>
        <w:rPr>
          <w:rFonts w:ascii="Calibri" w:hAnsi="Calibri"/>
          <w:color w:val="2E74B5"/>
          <w:sz w:val="22"/>
          <w:u w:val="single"/>
        </w:rPr>
        <w:t>https://docs.cline.bot/sdk/reference/agent</w:t>
      </w:r>
      <w:r>
        <w:rPr>
          <w:rFonts w:ascii="Calibri" w:hAnsi="Calibri"/>
          <w:sz w:val="22"/>
        </w:rPr>
        <w:t xml:space="preserve"> and </w:t>
      </w:r>
      <w:r>
        <w:rPr>
          <w:rFonts w:ascii="Calibri" w:hAnsi="Calibri"/>
          <w:color w:val="2E74B5"/>
          <w:sz w:val="22"/>
          <w:u w:val="single"/>
        </w:rPr>
        <w:t>https://github.com/cline/cline</w:t>
      </w:r>
    </w:p>
    <w:p>
      <w:pPr>
        <w:spacing w:after="120" w:line="300" w:lineRule="auto"/>
      </w:pPr>
      <w:r>
        <w:rPr>
          <w:rFonts w:ascii="Calibri" w:hAnsi="Calibri"/>
          <w:sz w:val="22"/>
        </w:rPr>
        <w:t>These references inform adapters; they do not override this platform's internal contracts or security boundaries.</w:t>
      </w:r>
    </w:p>
    <w:p>
      <w:r>
        <w:br w:type="page"/>
      </w:r>
    </w:p>
    <w:p>
      <w:pPr>
        <w:pStyle w:val="Heading1"/>
        <w:keepNext w:val="1"/>
      </w:pPr>
      <w:r>
        <w:rPr>
          <w:rFonts w:ascii="Calibri" w:hAnsi="Calibri"/>
          <w:b/>
          <w:color w:val="2E74B5"/>
          <w:sz w:val="32"/>
        </w:rPr>
        <w:t>Appendix A — First Implementation Backlog</w:t>
      </w:r>
    </w:p>
    <w:p>
      <w:pPr>
        <w:spacing w:after="120" w:line="300" w:lineRule="auto"/>
      </w:pPr>
      <w:r>
        <w:rPr>
          <w:rFonts w:ascii="Calibri" w:hAnsi="Calibri"/>
          <w:sz w:val="22"/>
        </w:rPr>
        <w:t>Create issues in this dependency order after Phase 0 approval:</w:t>
      </w:r>
    </w:p>
    <w:p>
      <w:pPr>
        <w:spacing w:after="80" w:line="300" w:lineRule="auto"/>
        <w:numPr>
          <w:ilvl w:val="0"/>
          <w:numId w:val="20"/>
        </w:numPr>
      </w:pPr>
      <w:r>
        <w:rPr>
          <w:rFonts w:ascii="Consolas" w:hAnsi="Consolas"/>
          <w:color w:val="1F4D78"/>
          <w:sz w:val="20"/>
        </w:rPr>
        <w:t>BOOT-001</w:t>
      </w:r>
      <w:r>
        <w:rPr>
          <w:rFonts w:ascii="Calibri" w:hAnsi="Calibri"/>
          <w:sz w:val="22"/>
        </w:rPr>
        <w:t xml:space="preserve"> Initialize monorepo and strict toolchain.</w:t>
      </w:r>
    </w:p>
    <w:p>
      <w:pPr>
        <w:spacing w:after="80" w:line="300" w:lineRule="auto"/>
        <w:numPr>
          <w:ilvl w:val="0"/>
          <w:numId w:val="20"/>
        </w:numPr>
      </w:pPr>
      <w:r>
        <w:rPr>
          <w:rFonts w:ascii="Consolas" w:hAnsi="Consolas"/>
          <w:color w:val="1F4D78"/>
          <w:sz w:val="20"/>
        </w:rPr>
        <w:t>BOOT-002</w:t>
      </w:r>
      <w:r>
        <w:rPr>
          <w:rFonts w:ascii="Calibri" w:hAnsi="Calibri"/>
          <w:sz w:val="22"/>
        </w:rPr>
        <w:t xml:space="preserve"> Add local dependency stack and health checks.</w:t>
      </w:r>
    </w:p>
    <w:p>
      <w:pPr>
        <w:spacing w:after="80" w:line="300" w:lineRule="auto"/>
        <w:numPr>
          <w:ilvl w:val="0"/>
          <w:numId w:val="20"/>
        </w:numPr>
      </w:pPr>
      <w:r>
        <w:rPr>
          <w:rFonts w:ascii="Consolas" w:hAnsi="Consolas"/>
          <w:color w:val="1F4D78"/>
          <w:sz w:val="20"/>
        </w:rPr>
        <w:t>BOOT-003</w:t>
      </w:r>
      <w:r>
        <w:rPr>
          <w:rFonts w:ascii="Calibri" w:hAnsi="Calibri"/>
          <w:sz w:val="22"/>
        </w:rPr>
        <w:t xml:space="preserve"> Add CI baseline and security scanning.</w:t>
      </w:r>
    </w:p>
    <w:p>
      <w:pPr>
        <w:spacing w:after="80" w:line="300" w:lineRule="auto"/>
        <w:numPr>
          <w:ilvl w:val="0"/>
          <w:numId w:val="20"/>
        </w:numPr>
      </w:pPr>
      <w:r>
        <w:rPr>
          <w:rFonts w:ascii="Consolas" w:hAnsi="Consolas"/>
          <w:color w:val="1F4D78"/>
          <w:sz w:val="20"/>
        </w:rPr>
        <w:t>SPIKE-001</w:t>
      </w:r>
      <w:r>
        <w:rPr>
          <w:rFonts w:ascii="Calibri" w:hAnsi="Calibri"/>
          <w:sz w:val="22"/>
        </w:rPr>
        <w:t xml:space="preserve"> Cline adapter compatibility proof.</w:t>
      </w:r>
    </w:p>
    <w:p>
      <w:pPr>
        <w:spacing w:after="80" w:line="300" w:lineRule="auto"/>
        <w:numPr>
          <w:ilvl w:val="0"/>
          <w:numId w:val="20"/>
        </w:numPr>
      </w:pPr>
      <w:r>
        <w:rPr>
          <w:rFonts w:ascii="Consolas" w:hAnsi="Consolas"/>
          <w:color w:val="1F4D78"/>
          <w:sz w:val="20"/>
        </w:rPr>
        <w:t>SPIKE-002</w:t>
      </w:r>
      <w:r>
        <w:rPr>
          <w:rFonts w:ascii="Calibri" w:hAnsi="Calibri"/>
          <w:sz w:val="22"/>
        </w:rPr>
        <w:t xml:space="preserve"> Temporal replay and signal proof.</w:t>
      </w:r>
    </w:p>
    <w:p>
      <w:pPr>
        <w:spacing w:after="80" w:line="300" w:lineRule="auto"/>
        <w:numPr>
          <w:ilvl w:val="0"/>
          <w:numId w:val="20"/>
        </w:numPr>
      </w:pPr>
      <w:r>
        <w:rPr>
          <w:rFonts w:ascii="Consolas" w:hAnsi="Consolas"/>
          <w:color w:val="1F4D78"/>
          <w:sz w:val="20"/>
        </w:rPr>
        <w:t>SPIKE-003</w:t>
      </w:r>
      <w:r>
        <w:rPr>
          <w:rFonts w:ascii="Calibri" w:hAnsi="Calibri"/>
          <w:sz w:val="22"/>
        </w:rPr>
        <w:t xml:space="preserve"> PostgreSQL outbox to JetStream proof.</w:t>
      </w:r>
    </w:p>
    <w:p>
      <w:pPr>
        <w:spacing w:after="80" w:line="300" w:lineRule="auto"/>
        <w:numPr>
          <w:ilvl w:val="0"/>
          <w:numId w:val="20"/>
        </w:numPr>
      </w:pPr>
      <w:r>
        <w:rPr>
          <w:rFonts w:ascii="Consolas" w:hAnsi="Consolas"/>
          <w:color w:val="1F4D78"/>
          <w:sz w:val="20"/>
        </w:rPr>
        <w:t>SPIKE-004</w:t>
      </w:r>
      <w:r>
        <w:rPr>
          <w:rFonts w:ascii="Calibri" w:hAnsi="Calibri"/>
          <w:sz w:val="22"/>
        </w:rPr>
        <w:t xml:space="preserve"> OPA bundle and decision proof.</w:t>
      </w:r>
    </w:p>
    <w:p>
      <w:pPr>
        <w:spacing w:after="80" w:line="300" w:lineRule="auto"/>
        <w:numPr>
          <w:ilvl w:val="0"/>
          <w:numId w:val="20"/>
        </w:numPr>
      </w:pPr>
      <w:r>
        <w:rPr>
          <w:rFonts w:ascii="Consolas" w:hAnsi="Consolas"/>
          <w:color w:val="1F4D78"/>
          <w:sz w:val="20"/>
        </w:rPr>
        <w:t>CONTRACT-001</w:t>
      </w:r>
      <w:r>
        <w:rPr>
          <w:rFonts w:ascii="Calibri" w:hAnsi="Calibri"/>
          <w:sz w:val="22"/>
        </w:rPr>
        <w:t xml:space="preserve"> IDs, actors, time, money, hashes.</w:t>
      </w:r>
    </w:p>
    <w:p>
      <w:pPr>
        <w:spacing w:after="80" w:line="300" w:lineRule="auto"/>
        <w:numPr>
          <w:ilvl w:val="0"/>
          <w:numId w:val="20"/>
        </w:numPr>
      </w:pPr>
      <w:r>
        <w:rPr>
          <w:rFonts w:ascii="Consolas" w:hAnsi="Consolas"/>
          <w:color w:val="1F4D78"/>
          <w:sz w:val="20"/>
        </w:rPr>
        <w:t>CONTRACT-002</w:t>
      </w:r>
      <w:r>
        <w:rPr>
          <w:rFonts w:ascii="Calibri" w:hAnsi="Calibri"/>
          <w:sz w:val="22"/>
        </w:rPr>
        <w:t xml:space="preserve"> command/workflow/plan schemas.</w:t>
      </w:r>
    </w:p>
    <w:p>
      <w:pPr>
        <w:spacing w:after="80" w:line="300" w:lineRule="auto"/>
        <w:numPr>
          <w:ilvl w:val="0"/>
          <w:numId w:val="20"/>
        </w:numPr>
      </w:pPr>
      <w:r>
        <w:rPr>
          <w:rFonts w:ascii="Consolas" w:hAnsi="Consolas"/>
          <w:color w:val="1F4D78"/>
          <w:sz w:val="20"/>
        </w:rPr>
        <w:t>CONTRACT-003</w:t>
      </w:r>
      <w:r>
        <w:rPr>
          <w:rFonts w:ascii="Calibri" w:hAnsi="Calibri"/>
          <w:sz w:val="22"/>
        </w:rPr>
        <w:t xml:space="preserve"> invocation/report schemas.</w:t>
      </w:r>
    </w:p>
    <w:p>
      <w:pPr>
        <w:spacing w:after="80" w:line="300" w:lineRule="auto"/>
        <w:numPr>
          <w:ilvl w:val="0"/>
          <w:numId w:val="20"/>
        </w:numPr>
      </w:pPr>
      <w:r>
        <w:rPr>
          <w:rFonts w:ascii="Consolas" w:hAnsi="Consolas"/>
          <w:color w:val="1F4D78"/>
          <w:sz w:val="20"/>
        </w:rPr>
        <w:t>CONTRACT-004</w:t>
      </w:r>
      <w:r>
        <w:rPr>
          <w:rFonts w:ascii="Calibri" w:hAnsi="Calibri"/>
          <w:sz w:val="22"/>
        </w:rPr>
        <w:t xml:space="preserve"> artifact/event schemas.</w:t>
      </w:r>
    </w:p>
    <w:p>
      <w:pPr>
        <w:spacing w:after="80" w:line="300" w:lineRule="auto"/>
        <w:numPr>
          <w:ilvl w:val="0"/>
          <w:numId w:val="20"/>
        </w:numPr>
      </w:pPr>
      <w:r>
        <w:rPr>
          <w:rFonts w:ascii="Consolas" w:hAnsi="Consolas"/>
          <w:color w:val="1F4D78"/>
          <w:sz w:val="20"/>
        </w:rPr>
        <w:t>CONTRACT-005</w:t>
      </w:r>
      <w:r>
        <w:rPr>
          <w:rFonts w:ascii="Calibri" w:hAnsi="Calibri"/>
          <w:sz w:val="22"/>
        </w:rPr>
        <w:t xml:space="preserve"> approval/budget/authority/resource schemas.</w:t>
      </w:r>
    </w:p>
    <w:p>
      <w:pPr>
        <w:spacing w:after="80" w:line="300" w:lineRule="auto"/>
        <w:numPr>
          <w:ilvl w:val="0"/>
          <w:numId w:val="20"/>
        </w:numPr>
      </w:pPr>
      <w:r>
        <w:rPr>
          <w:rFonts w:ascii="Consolas" w:hAnsi="Consolas"/>
          <w:color w:val="1F4D78"/>
          <w:sz w:val="20"/>
        </w:rPr>
        <w:t>CONTRACT-006</w:t>
      </w:r>
      <w:r>
        <w:rPr>
          <w:rFonts w:ascii="Calibri" w:hAnsi="Calibri"/>
          <w:sz w:val="22"/>
        </w:rPr>
        <w:t xml:space="preserve"> state machines and error catalog.</w:t>
      </w:r>
    </w:p>
    <w:p>
      <w:pPr>
        <w:spacing w:after="80" w:line="300" w:lineRule="auto"/>
        <w:numPr>
          <w:ilvl w:val="0"/>
          <w:numId w:val="20"/>
        </w:numPr>
      </w:pPr>
      <w:r>
        <w:rPr>
          <w:rFonts w:ascii="Consolas" w:hAnsi="Consolas"/>
          <w:color w:val="1F4D78"/>
          <w:sz w:val="20"/>
        </w:rPr>
        <w:t>CONTRACT-007</w:t>
      </w:r>
      <w:r>
        <w:rPr>
          <w:rFonts w:ascii="Calibri" w:hAnsi="Calibri"/>
          <w:sz w:val="22"/>
        </w:rPr>
        <w:t xml:space="preserve"> JSON Schema generation and compatibility check.</w:t>
      </w:r>
    </w:p>
    <w:p>
      <w:pPr>
        <w:spacing w:after="80" w:line="300" w:lineRule="auto"/>
        <w:numPr>
          <w:ilvl w:val="0"/>
          <w:numId w:val="20"/>
        </w:numPr>
      </w:pPr>
      <w:r>
        <w:rPr>
          <w:rFonts w:ascii="Consolas" w:hAnsi="Consolas"/>
          <w:color w:val="1F4D78"/>
          <w:sz w:val="20"/>
        </w:rPr>
        <w:t>TESTKIT-001</w:t>
      </w:r>
      <w:r>
        <w:rPr>
          <w:rFonts w:ascii="Calibri" w:hAnsi="Calibri"/>
          <w:sz w:val="22"/>
        </w:rPr>
        <w:t xml:space="preserve"> invariant fixtures and fake runtime services.</w:t>
      </w:r>
    </w:p>
    <w:p>
      <w:pPr>
        <w:spacing w:after="80" w:line="300" w:lineRule="auto"/>
        <w:numPr>
          <w:ilvl w:val="0"/>
          <w:numId w:val="20"/>
        </w:numPr>
      </w:pPr>
      <w:r>
        <w:rPr>
          <w:rFonts w:ascii="Consolas" w:hAnsi="Consolas"/>
          <w:color w:val="1F4D78"/>
          <w:sz w:val="20"/>
        </w:rPr>
        <w:t>STATE-001</w:t>
      </w:r>
      <w:r>
        <w:rPr>
          <w:rFonts w:ascii="Calibri" w:hAnsi="Calibri"/>
          <w:sz w:val="22"/>
        </w:rPr>
        <w:t xml:space="preserve"> database migrations and repository base.</w:t>
      </w:r>
    </w:p>
    <w:p>
      <w:pPr>
        <w:spacing w:after="80" w:line="300" w:lineRule="auto"/>
        <w:numPr>
          <w:ilvl w:val="0"/>
          <w:numId w:val="20"/>
        </w:numPr>
      </w:pPr>
      <w:r>
        <w:rPr>
          <w:rFonts w:ascii="Consolas" w:hAnsi="Consolas"/>
          <w:color w:val="1F4D78"/>
          <w:sz w:val="20"/>
        </w:rPr>
        <w:t>STATE-002</w:t>
      </w:r>
      <w:r>
        <w:rPr>
          <w:rFonts w:ascii="Calibri" w:hAnsi="Calibri"/>
          <w:sz w:val="22"/>
        </w:rPr>
        <w:t xml:space="preserve"> command idempotency and optimistic concurrency.</w:t>
      </w:r>
    </w:p>
    <w:p>
      <w:pPr>
        <w:spacing w:after="80" w:line="300" w:lineRule="auto"/>
        <w:numPr>
          <w:ilvl w:val="0"/>
          <w:numId w:val="20"/>
        </w:numPr>
      </w:pPr>
      <w:r>
        <w:rPr>
          <w:rFonts w:ascii="Consolas" w:hAnsi="Consolas"/>
          <w:color w:val="1F4D78"/>
          <w:sz w:val="20"/>
        </w:rPr>
        <w:t>STATE-003</w:t>
      </w:r>
      <w:r>
        <w:rPr>
          <w:rFonts w:ascii="Calibri" w:hAnsi="Calibri"/>
          <w:sz w:val="22"/>
        </w:rPr>
        <w:t xml:space="preserve"> event log, audit, and outbox transaction.</w:t>
      </w:r>
    </w:p>
    <w:p>
      <w:pPr>
        <w:spacing w:after="80" w:line="300" w:lineRule="auto"/>
        <w:numPr>
          <w:ilvl w:val="0"/>
          <w:numId w:val="20"/>
        </w:numPr>
      </w:pPr>
      <w:r>
        <w:rPr>
          <w:rFonts w:ascii="Consolas" w:hAnsi="Consolas"/>
          <w:color w:val="1F4D78"/>
          <w:sz w:val="20"/>
        </w:rPr>
        <w:t>ARTIFACT-001</w:t>
      </w:r>
      <w:r>
        <w:rPr>
          <w:rFonts w:ascii="Calibri" w:hAnsi="Calibri"/>
          <w:sz w:val="22"/>
        </w:rPr>
        <w:t xml:space="preserve"> local staging and content-addressed storage.</w:t>
      </w:r>
    </w:p>
    <w:p>
      <w:pPr>
        <w:spacing w:after="80" w:line="300" w:lineRule="auto"/>
        <w:numPr>
          <w:ilvl w:val="0"/>
          <w:numId w:val="20"/>
        </w:numPr>
      </w:pPr>
      <w:r>
        <w:rPr>
          <w:rFonts w:ascii="Consolas" w:hAnsi="Consolas"/>
          <w:color w:val="1F4D78"/>
          <w:sz w:val="20"/>
        </w:rPr>
        <w:t>ARTIFACT-002</w:t>
      </w:r>
      <w:r>
        <w:rPr>
          <w:rFonts w:ascii="Calibri" w:hAnsi="Calibri"/>
          <w:sz w:val="22"/>
        </w:rPr>
        <w:t xml:space="preserve"> immutable publication and lineage.</w:t>
      </w:r>
    </w:p>
    <w:p>
      <w:pPr>
        <w:spacing w:after="80" w:line="300" w:lineRule="auto"/>
        <w:numPr>
          <w:ilvl w:val="0"/>
          <w:numId w:val="20"/>
        </w:numPr>
      </w:pPr>
      <w:r>
        <w:rPr>
          <w:rFonts w:ascii="Consolas" w:hAnsi="Consolas"/>
          <w:color w:val="1F4D78"/>
          <w:sz w:val="20"/>
        </w:rPr>
        <w:t>EVENT-001</w:t>
      </w:r>
      <w:r>
        <w:rPr>
          <w:rFonts w:ascii="Calibri" w:hAnsi="Calibri"/>
          <w:sz w:val="22"/>
        </w:rPr>
        <w:t xml:space="preserve"> outbox publisher and consumer deduplication.</w:t>
      </w:r>
    </w:p>
    <w:p>
      <w:pPr>
        <w:spacing w:after="80" w:line="300" w:lineRule="auto"/>
        <w:numPr>
          <w:ilvl w:val="0"/>
          <w:numId w:val="20"/>
        </w:numPr>
      </w:pPr>
      <w:r>
        <w:rPr>
          <w:rFonts w:ascii="Consolas" w:hAnsi="Consolas"/>
          <w:color w:val="1F4D78"/>
          <w:sz w:val="20"/>
        </w:rPr>
        <w:t>PROJ-001</w:t>
      </w:r>
      <w:r>
        <w:rPr>
          <w:rFonts w:ascii="Calibri" w:hAnsi="Calibri"/>
          <w:sz w:val="22"/>
        </w:rPr>
        <w:t xml:space="preserve"> workflow and invocation projections.</w:t>
      </w:r>
    </w:p>
    <w:p>
      <w:pPr>
        <w:spacing w:after="80" w:line="300" w:lineRule="auto"/>
        <w:numPr>
          <w:ilvl w:val="0"/>
          <w:numId w:val="20"/>
        </w:numPr>
      </w:pPr>
      <w:r>
        <w:rPr>
          <w:rFonts w:ascii="Consolas" w:hAnsi="Consolas"/>
          <w:color w:val="1F4D78"/>
          <w:sz w:val="20"/>
        </w:rPr>
        <w:t>PROJ-002</w:t>
      </w:r>
      <w:r>
        <w:rPr>
          <w:rFonts w:ascii="Calibri" w:hAnsi="Calibri"/>
          <w:sz w:val="22"/>
        </w:rPr>
        <w:t xml:space="preserve"> artifacts, cost, approvals, audit projections.</w:t>
      </w:r>
    </w:p>
    <w:p>
      <w:pPr>
        <w:spacing w:after="80" w:line="300" w:lineRule="auto"/>
        <w:numPr>
          <w:ilvl w:val="0"/>
          <w:numId w:val="20"/>
        </w:numPr>
      </w:pPr>
      <w:r>
        <w:rPr>
          <w:rFonts w:ascii="Consolas" w:hAnsi="Consolas"/>
          <w:color w:val="1F4D78"/>
          <w:sz w:val="20"/>
        </w:rPr>
        <w:t>SEC-001</w:t>
      </w:r>
      <w:r>
        <w:rPr>
          <w:rFonts w:ascii="Calibri" w:hAnsi="Calibri"/>
          <w:sz w:val="22"/>
        </w:rPr>
        <w:t xml:space="preserve"> authority envelope and selector engine.</w:t>
      </w:r>
    </w:p>
    <w:p>
      <w:pPr>
        <w:spacing w:after="80" w:line="300" w:lineRule="auto"/>
        <w:numPr>
          <w:ilvl w:val="0"/>
          <w:numId w:val="20"/>
        </w:numPr>
      </w:pPr>
      <w:r>
        <w:rPr>
          <w:rFonts w:ascii="Consolas" w:hAnsi="Consolas"/>
          <w:color w:val="1F4D78"/>
          <w:sz w:val="20"/>
        </w:rPr>
        <w:t>SEC-002</w:t>
      </w:r>
      <w:r>
        <w:rPr>
          <w:rFonts w:ascii="Calibri" w:hAnsi="Calibri"/>
          <w:sz w:val="22"/>
        </w:rPr>
        <w:t xml:space="preserve"> OPA policy adapter and deny-by-default policies.</w:t>
      </w:r>
    </w:p>
    <w:p>
      <w:pPr>
        <w:spacing w:after="80" w:line="300" w:lineRule="auto"/>
        <w:numPr>
          <w:ilvl w:val="0"/>
          <w:numId w:val="20"/>
        </w:numPr>
      </w:pPr>
      <w:r>
        <w:rPr>
          <w:rFonts w:ascii="Consolas" w:hAnsi="Consolas"/>
          <w:color w:val="1F4D78"/>
          <w:sz w:val="20"/>
        </w:rPr>
        <w:t>APPROVAL-001</w:t>
      </w:r>
      <w:r>
        <w:rPr>
          <w:rFonts w:ascii="Calibri" w:hAnsi="Calibri"/>
          <w:sz w:val="22"/>
        </w:rPr>
        <w:t xml:space="preserve"> action digest and approval lifecycle.</w:t>
      </w:r>
    </w:p>
    <w:p>
      <w:pPr>
        <w:spacing w:after="80" w:line="300" w:lineRule="auto"/>
        <w:numPr>
          <w:ilvl w:val="0"/>
          <w:numId w:val="20"/>
        </w:numPr>
      </w:pPr>
      <w:r>
        <w:rPr>
          <w:rFonts w:ascii="Consolas" w:hAnsi="Consolas"/>
          <w:color w:val="1F4D78"/>
          <w:sz w:val="20"/>
        </w:rPr>
        <w:t>FINOPS-001</w:t>
      </w:r>
      <w:r>
        <w:rPr>
          <w:rFonts w:ascii="Calibri" w:hAnsi="Calibri"/>
          <w:sz w:val="22"/>
        </w:rPr>
        <w:t xml:space="preserve"> reservation and reconciliation ledger.</w:t>
      </w:r>
    </w:p>
    <w:p>
      <w:pPr>
        <w:spacing w:after="80" w:line="300" w:lineRule="auto"/>
        <w:numPr>
          <w:ilvl w:val="0"/>
          <w:numId w:val="20"/>
        </w:numPr>
      </w:pPr>
      <w:r>
        <w:rPr>
          <w:rFonts w:ascii="Consolas" w:hAnsi="Consolas"/>
          <w:color w:val="1F4D78"/>
          <w:sz w:val="20"/>
        </w:rPr>
        <w:t>TOOLS-001</w:t>
      </w:r>
      <w:r>
        <w:rPr>
          <w:rFonts w:ascii="Calibri" w:hAnsi="Calibri"/>
          <w:sz w:val="22"/>
        </w:rPr>
        <w:t xml:space="preserve"> tool broker and audit interceptor.</w:t>
      </w:r>
    </w:p>
    <w:p>
      <w:pPr>
        <w:spacing w:after="80" w:line="300" w:lineRule="auto"/>
        <w:numPr>
          <w:ilvl w:val="0"/>
          <w:numId w:val="20"/>
        </w:numPr>
      </w:pPr>
      <w:r>
        <w:rPr>
          <w:rFonts w:ascii="Consolas" w:hAnsi="Consolas"/>
          <w:color w:val="1F4D78"/>
          <w:sz w:val="20"/>
        </w:rPr>
        <w:t>HARNESS-001</w:t>
      </w:r>
      <w:r>
        <w:rPr>
          <w:rFonts w:ascii="Calibri" w:hAnsi="Calibri"/>
          <w:sz w:val="22"/>
        </w:rPr>
        <w:t xml:space="preserve"> definitions, factory, hooks, and context blocks.</w:t>
      </w:r>
    </w:p>
    <w:p>
      <w:pPr>
        <w:spacing w:after="80" w:line="300" w:lineRule="auto"/>
        <w:numPr>
          <w:ilvl w:val="0"/>
          <w:numId w:val="20"/>
        </w:numPr>
      </w:pPr>
      <w:r>
        <w:rPr>
          <w:rFonts w:ascii="Consolas" w:hAnsi="Consolas"/>
          <w:color w:val="1F4D78"/>
          <w:sz w:val="20"/>
        </w:rPr>
        <w:t>HARNESS-002</w:t>
      </w:r>
      <w:r>
        <w:rPr>
          <w:rFonts w:ascii="Calibri" w:hAnsi="Calibri"/>
          <w:sz w:val="22"/>
        </w:rPr>
        <w:t xml:space="preserve"> report validator.</w:t>
      </w:r>
    </w:p>
    <w:p>
      <w:pPr>
        <w:spacing w:after="80" w:line="300" w:lineRule="auto"/>
        <w:numPr>
          <w:ilvl w:val="0"/>
          <w:numId w:val="20"/>
        </w:numPr>
      </w:pPr>
      <w:r>
        <w:rPr>
          <w:rFonts w:ascii="Consolas" w:hAnsi="Consolas"/>
          <w:color w:val="1F4D78"/>
          <w:sz w:val="20"/>
        </w:rPr>
        <w:t>CLINE-001</w:t>
      </w:r>
      <w:r>
        <w:rPr>
          <w:rFonts w:ascii="Calibri" w:hAnsi="Calibri"/>
          <w:sz w:val="22"/>
        </w:rPr>
        <w:t xml:space="preserve"> production runtime adapter.</w:t>
      </w:r>
    </w:p>
    <w:p>
      <w:pPr>
        <w:spacing w:after="80" w:line="300" w:lineRule="auto"/>
        <w:numPr>
          <w:ilvl w:val="0"/>
          <w:numId w:val="20"/>
        </w:numPr>
      </w:pPr>
      <w:r>
        <w:rPr>
          <w:rFonts w:ascii="Consolas" w:hAnsi="Consolas"/>
          <w:color w:val="1F4D78"/>
          <w:sz w:val="20"/>
        </w:rPr>
        <w:t>AGENTREG-001</w:t>
      </w:r>
      <w:r>
        <w:rPr>
          <w:rFonts w:ascii="Calibri" w:hAnsi="Calibri"/>
          <w:sz w:val="22"/>
        </w:rPr>
        <w:t xml:space="preserve"> registry and tier enforcement.</w:t>
      </w:r>
    </w:p>
    <w:p>
      <w:pPr>
        <w:spacing w:after="80" w:line="300" w:lineRule="auto"/>
        <w:numPr>
          <w:ilvl w:val="0"/>
          <w:numId w:val="20"/>
        </w:numPr>
      </w:pPr>
      <w:r>
        <w:rPr>
          <w:rFonts w:ascii="Consolas" w:hAnsi="Consolas"/>
          <w:color w:val="1F4D78"/>
          <w:sz w:val="20"/>
        </w:rPr>
        <w:t>TASK-001</w:t>
      </w:r>
      <w:r>
        <w:rPr>
          <w:rFonts w:ascii="Calibri" w:hAnsi="Calibri"/>
          <w:sz w:val="22"/>
        </w:rPr>
        <w:t xml:space="preserve"> deterministic worker shell.</w:t>
      </w:r>
    </w:p>
    <w:p>
      <w:pPr>
        <w:spacing w:after="80" w:line="300" w:lineRule="auto"/>
        <w:numPr>
          <w:ilvl w:val="0"/>
          <w:numId w:val="20"/>
        </w:numPr>
      </w:pPr>
      <w:r>
        <w:rPr>
          <w:rFonts w:ascii="Consolas" w:hAnsi="Consolas"/>
          <w:color w:val="1F4D78"/>
          <w:sz w:val="20"/>
        </w:rPr>
        <w:t>TASK-002</w:t>
      </w:r>
      <w:r>
        <w:rPr>
          <w:rFonts w:ascii="Calibri" w:hAnsi="Calibri"/>
          <w:sz w:val="22"/>
        </w:rPr>
        <w:t xml:space="preserve"> coding sandbox shell.</w:t>
      </w:r>
    </w:p>
    <w:p>
      <w:pPr>
        <w:spacing w:after="80" w:line="300" w:lineRule="auto"/>
        <w:numPr>
          <w:ilvl w:val="0"/>
          <w:numId w:val="20"/>
        </w:numPr>
      </w:pPr>
      <w:r>
        <w:rPr>
          <w:rFonts w:ascii="Consolas" w:hAnsi="Consolas"/>
          <w:color w:val="1F4D78"/>
          <w:sz w:val="20"/>
        </w:rPr>
        <w:t>ORCH-001</w:t>
      </w:r>
      <w:r>
        <w:rPr>
          <w:rFonts w:ascii="Calibri" w:hAnsi="Calibri"/>
          <w:sz w:val="22"/>
        </w:rPr>
        <w:t xml:space="preserve"> plan validator and dependency evaluator.</w:t>
      </w:r>
    </w:p>
    <w:p>
      <w:pPr>
        <w:spacing w:after="80" w:line="300" w:lineRule="auto"/>
        <w:numPr>
          <w:ilvl w:val="0"/>
          <w:numId w:val="20"/>
        </w:numPr>
      </w:pPr>
      <w:r>
        <w:rPr>
          <w:rFonts w:ascii="Consolas" w:hAnsi="Consolas"/>
          <w:color w:val="1F4D78"/>
          <w:sz w:val="20"/>
        </w:rPr>
        <w:t>ORCH-002</w:t>
      </w:r>
      <w:r>
        <w:rPr>
          <w:rFonts w:ascii="Calibri" w:hAnsi="Calibri"/>
          <w:sz w:val="22"/>
        </w:rPr>
        <w:t xml:space="preserve"> scheduler, aggregator, and user status.</w:t>
      </w:r>
    </w:p>
    <w:p>
      <w:pPr>
        <w:spacing w:after="80" w:line="300" w:lineRule="auto"/>
        <w:numPr>
          <w:ilvl w:val="0"/>
          <w:numId w:val="20"/>
        </w:numPr>
      </w:pPr>
      <w:r>
        <w:rPr>
          <w:rFonts w:ascii="Consolas" w:hAnsi="Consolas"/>
          <w:color w:val="1F4D78"/>
          <w:sz w:val="20"/>
        </w:rPr>
        <w:t>GOV-001</w:t>
      </w:r>
      <w:r>
        <w:rPr>
          <w:rFonts w:ascii="Calibri" w:hAnsi="Calibri"/>
          <w:sz w:val="22"/>
        </w:rPr>
        <w:t xml:space="preserve"> minimum Governance specialist.</w:t>
      </w:r>
    </w:p>
    <w:p>
      <w:pPr>
        <w:spacing w:after="80" w:line="300" w:lineRule="auto"/>
        <w:numPr>
          <w:ilvl w:val="0"/>
          <w:numId w:val="20"/>
        </w:numPr>
      </w:pPr>
      <w:r>
        <w:rPr>
          <w:rFonts w:ascii="Consolas" w:hAnsi="Consolas"/>
          <w:color w:val="1F4D78"/>
          <w:sz w:val="20"/>
        </w:rPr>
        <w:t>DATA-001</w:t>
      </w:r>
      <w:r>
        <w:rPr>
          <w:rFonts w:ascii="Calibri" w:hAnsi="Calibri"/>
          <w:sz w:val="22"/>
        </w:rPr>
        <w:t xml:space="preserve"> minimum Data Engineer specialist.</w:t>
      </w:r>
    </w:p>
    <w:p>
      <w:pPr>
        <w:spacing w:after="80" w:line="300" w:lineRule="auto"/>
        <w:numPr>
          <w:ilvl w:val="0"/>
          <w:numId w:val="20"/>
        </w:numPr>
      </w:pPr>
      <w:r>
        <w:rPr>
          <w:rFonts w:ascii="Consolas" w:hAnsi="Consolas"/>
          <w:color w:val="1F4D78"/>
          <w:sz w:val="20"/>
        </w:rPr>
        <w:t>CLUSTER-001</w:t>
      </w:r>
      <w:r>
        <w:rPr>
          <w:rFonts w:ascii="Calibri" w:hAnsi="Calibri"/>
          <w:sz w:val="22"/>
        </w:rPr>
        <w:t xml:space="preserve"> local capacity and allocation specialist.</w:t>
      </w:r>
    </w:p>
    <w:p>
      <w:pPr>
        <w:spacing w:after="80" w:line="300" w:lineRule="auto"/>
        <w:numPr>
          <w:ilvl w:val="0"/>
          <w:numId w:val="20"/>
        </w:numPr>
      </w:pPr>
      <w:r>
        <w:rPr>
          <w:rFonts w:ascii="Consolas" w:hAnsi="Consolas"/>
          <w:color w:val="1F4D78"/>
          <w:sz w:val="20"/>
        </w:rPr>
        <w:t>ML-001</w:t>
      </w:r>
      <w:r>
        <w:rPr>
          <w:rFonts w:ascii="Calibri" w:hAnsi="Calibri"/>
          <w:sz w:val="22"/>
        </w:rPr>
        <w:t xml:space="preserve"> minimum ML Engineer specialist.</w:t>
      </w:r>
    </w:p>
    <w:p>
      <w:pPr>
        <w:spacing w:after="80" w:line="300" w:lineRule="auto"/>
        <w:numPr>
          <w:ilvl w:val="0"/>
          <w:numId w:val="20"/>
        </w:numPr>
      </w:pPr>
      <w:r>
        <w:rPr>
          <w:rFonts w:ascii="Consolas" w:hAnsi="Consolas"/>
          <w:color w:val="1F4D78"/>
          <w:sz w:val="20"/>
        </w:rPr>
        <w:t>E2E-001</w:t>
      </w:r>
      <w:r>
        <w:rPr>
          <w:rFonts w:ascii="Calibri" w:hAnsi="Calibri"/>
          <w:sz w:val="22"/>
        </w:rPr>
        <w:t xml:space="preserve"> local data-to-smoke-run scenario.</w:t>
      </w:r>
    </w:p>
    <w:p>
      <w:r>
        <w:br w:type="page"/>
      </w:r>
    </w:p>
    <w:p>
      <w:pPr>
        <w:pStyle w:val="Heading1"/>
        <w:keepNext w:val="1"/>
      </w:pPr>
      <w:r>
        <w:rPr>
          <w:rFonts w:ascii="Calibri" w:hAnsi="Calibri"/>
          <w:b/>
          <w:color w:val="2E74B5"/>
          <w:sz w:val="32"/>
        </w:rPr>
        <w:t>Appendix B — Pull Request Checklist</w:t>
      </w:r>
    </w:p>
    <w:p>
      <w:pPr>
        <w:spacing w:after="80" w:line="300" w:lineRule="auto"/>
        <w:numPr>
          <w:ilvl w:val="0"/>
          <w:numId w:val="10"/>
        </w:numPr>
      </w:pPr>
      <w:r>
        <w:rPr>
          <w:rFonts w:ascii="Calibri" w:hAnsi="Calibri"/>
          <w:sz w:val="22"/>
        </w:rPr>
        <w:t>[ ] Work-package ID and acceptance criteria are linked.</w:t>
      </w:r>
    </w:p>
    <w:p>
      <w:pPr>
        <w:spacing w:after="80" w:line="300" w:lineRule="auto"/>
        <w:numPr>
          <w:ilvl w:val="0"/>
          <w:numId w:val="10"/>
        </w:numPr>
      </w:pPr>
      <w:r>
        <w:rPr>
          <w:rFonts w:ascii="Calibri" w:hAnsi="Calibri"/>
          <w:sz w:val="22"/>
        </w:rPr>
        <w:t>[ ] Package boundary and tier rules are preserved.</w:t>
      </w:r>
    </w:p>
    <w:p>
      <w:pPr>
        <w:spacing w:after="80" w:line="300" w:lineRule="auto"/>
        <w:numPr>
          <w:ilvl w:val="0"/>
          <w:numId w:val="10"/>
        </w:numPr>
      </w:pPr>
      <w:r>
        <w:rPr>
          <w:rFonts w:ascii="Calibri" w:hAnsi="Calibri"/>
          <w:sz w:val="22"/>
        </w:rPr>
        <w:t>[ ] Schemas and migrations are documented.</w:t>
      </w:r>
    </w:p>
    <w:p>
      <w:pPr>
        <w:spacing w:after="80" w:line="300" w:lineRule="auto"/>
        <w:numPr>
          <w:ilvl w:val="0"/>
          <w:numId w:val="10"/>
        </w:numPr>
      </w:pPr>
      <w:r>
        <w:rPr>
          <w:rFonts w:ascii="Calibri" w:hAnsi="Calibri"/>
          <w:sz w:val="22"/>
        </w:rPr>
        <w:t>[ ] Success, denial, failure, idempotency, and retry tests are included.</w:t>
      </w:r>
    </w:p>
    <w:p>
      <w:pPr>
        <w:spacing w:after="80" w:line="300" w:lineRule="auto"/>
        <w:numPr>
          <w:ilvl w:val="0"/>
          <w:numId w:val="10"/>
        </w:numPr>
      </w:pPr>
      <w:r>
        <w:rPr>
          <w:rFonts w:ascii="Calibri" w:hAnsi="Calibri"/>
          <w:sz w:val="22"/>
        </w:rPr>
        <w:t>[ ] Tenant scope is explicit.</w:t>
      </w:r>
    </w:p>
    <w:p>
      <w:pPr>
        <w:spacing w:after="80" w:line="300" w:lineRule="auto"/>
        <w:numPr>
          <w:ilvl w:val="0"/>
          <w:numId w:val="10"/>
        </w:numPr>
      </w:pPr>
      <w:r>
        <w:rPr>
          <w:rFonts w:ascii="Calibri" w:hAnsi="Calibri"/>
          <w:sz w:val="22"/>
        </w:rPr>
        <w:t>[ ] Authority, policy, approval, and budget checks occur at effect time.</w:t>
      </w:r>
    </w:p>
    <w:p>
      <w:pPr>
        <w:spacing w:after="80" w:line="300" w:lineRule="auto"/>
        <w:numPr>
          <w:ilvl w:val="0"/>
          <w:numId w:val="10"/>
        </w:numPr>
      </w:pPr>
      <w:r>
        <w:rPr>
          <w:rFonts w:ascii="Calibri" w:hAnsi="Calibri"/>
          <w:sz w:val="22"/>
        </w:rPr>
        <w:t>[ ] No secret plaintext can enter model context or telemetry.</w:t>
      </w:r>
    </w:p>
    <w:p>
      <w:pPr>
        <w:spacing w:after="80" w:line="300" w:lineRule="auto"/>
        <w:numPr>
          <w:ilvl w:val="0"/>
          <w:numId w:val="10"/>
        </w:numPr>
      </w:pPr>
      <w:r>
        <w:rPr>
          <w:rFonts w:ascii="Calibri" w:hAnsi="Calibri"/>
          <w:sz w:val="22"/>
        </w:rPr>
        <w:t>[ ] Consequential actions emit audit events.</w:t>
      </w:r>
    </w:p>
    <w:p>
      <w:pPr>
        <w:spacing w:after="80" w:line="300" w:lineRule="auto"/>
        <w:numPr>
          <w:ilvl w:val="0"/>
          <w:numId w:val="10"/>
        </w:numPr>
      </w:pPr>
      <w:r>
        <w:rPr>
          <w:rFonts w:ascii="Calibri" w:hAnsi="Calibri"/>
          <w:sz w:val="22"/>
        </w:rPr>
        <w:t>[ ] Observability and correlation are present.</w:t>
      </w:r>
    </w:p>
    <w:p>
      <w:pPr>
        <w:spacing w:after="80" w:line="300" w:lineRule="auto"/>
        <w:numPr>
          <w:ilvl w:val="0"/>
          <w:numId w:val="10"/>
        </w:numPr>
      </w:pPr>
      <w:r>
        <w:rPr>
          <w:rFonts w:ascii="Calibri" w:hAnsi="Calibri"/>
          <w:sz w:val="22"/>
        </w:rPr>
        <w:t>[ ] Rollback/disable path is documented.</w:t>
      </w:r>
    </w:p>
    <w:p>
      <w:pPr>
        <w:spacing w:after="80" w:line="300" w:lineRule="auto"/>
        <w:numPr>
          <w:ilvl w:val="0"/>
          <w:numId w:val="10"/>
        </w:numPr>
      </w:pPr>
      <w:r>
        <w:rPr>
          <w:rFonts w:ascii="Calibri" w:hAnsi="Calibri"/>
          <w:sz w:val="22"/>
        </w:rPr>
        <w:t>[ ] Relevant phase verification suite passes.</w:t>
      </w:r>
    </w:p>
    <w:p>
      <w:pPr>
        <w:spacing w:after="80" w:line="300" w:lineRule="auto"/>
        <w:numPr>
          <w:ilvl w:val="0"/>
          <w:numId w:val="10"/>
        </w:numPr>
      </w:pPr>
      <w:r>
        <w:rPr>
          <w:rFonts w:ascii="Calibri" w:hAnsi="Calibri"/>
          <w:sz w:val="22"/>
        </w:rPr>
        <w:t xml:space="preserve">[ ] </w:t>
      </w:r>
      <w:r>
        <w:rPr>
          <w:rFonts w:ascii="Consolas" w:hAnsi="Consolas"/>
          <w:color w:val="1F4D78"/>
          <w:sz w:val="20"/>
        </w:rPr>
        <w:t>git diff --check</w:t>
      </w:r>
      <w:r>
        <w:rPr>
          <w:rFonts w:ascii="Calibri" w:hAnsi="Calibri"/>
          <w:sz w:val="22"/>
        </w:rPr>
        <w:t xml:space="preserve"> passes.</w:t>
      </w:r>
    </w:p>
    <w:p>
      <w:pPr>
        <w:spacing w:after="80" w:line="300" w:lineRule="auto"/>
        <w:numPr>
          <w:ilvl w:val="0"/>
          <w:numId w:val="10"/>
        </w:numPr>
      </w:pPr>
      <w:r>
        <w:rPr>
          <w:rFonts w:ascii="Calibri" w:hAnsi="Calibri"/>
          <w:sz w:val="22"/>
        </w:rPr>
        <w:t>[ ] Progress ledger and ADRs are updated when applicable.</w:t>
      </w:r>
    </w:p>
    <w:p>
      <w:r>
        <w:br w:type="page"/>
      </w:r>
    </w:p>
    <w:p>
      <w:pPr>
        <w:pStyle w:val="Heading1"/>
        <w:keepNext w:val="1"/>
      </w:pPr>
      <w:r>
        <w:rPr>
          <w:rFonts w:ascii="Calibri" w:hAnsi="Calibri"/>
          <w:b/>
          <w:color w:val="2E74B5"/>
          <w:sz w:val="32"/>
        </w:rPr>
        <w:t>Appendix C — Stop Conditions for Codex</w:t>
      </w:r>
    </w:p>
    <w:p>
      <w:pPr>
        <w:spacing w:after="120" w:line="300" w:lineRule="auto"/>
      </w:pPr>
      <w:r>
        <w:rPr>
          <w:rFonts w:ascii="Calibri" w:hAnsi="Calibri"/>
          <w:sz w:val="22"/>
        </w:rPr>
        <w:t>Codex must stop and ask for direction when:</w:t>
      </w:r>
    </w:p>
    <w:p>
      <w:pPr>
        <w:spacing w:after="80" w:line="300" w:lineRule="auto"/>
        <w:numPr>
          <w:ilvl w:val="0"/>
          <w:numId w:val="10"/>
        </w:numPr>
      </w:pPr>
      <w:r>
        <w:rPr>
          <w:rFonts w:ascii="Calibri" w:hAnsi="Calibri"/>
          <w:sz w:val="22"/>
        </w:rPr>
        <w:t>a required approval is absent or no approver policy exists;</w:t>
      </w:r>
    </w:p>
    <w:p>
      <w:pPr>
        <w:spacing w:after="80" w:line="300" w:lineRule="auto"/>
        <w:numPr>
          <w:ilvl w:val="0"/>
          <w:numId w:val="10"/>
        </w:numPr>
      </w:pPr>
      <w:r>
        <w:rPr>
          <w:rFonts w:ascii="Calibri" w:hAnsi="Calibri"/>
          <w:sz w:val="22"/>
        </w:rPr>
        <w:t>implementation would weaken a fixed invariant;</w:t>
      </w:r>
    </w:p>
    <w:p>
      <w:pPr>
        <w:spacing w:after="80" w:line="300" w:lineRule="auto"/>
        <w:numPr>
          <w:ilvl w:val="0"/>
          <w:numId w:val="10"/>
        </w:numPr>
      </w:pPr>
      <w:r>
        <w:rPr>
          <w:rFonts w:ascii="Calibri" w:hAnsi="Calibri"/>
          <w:sz w:val="22"/>
        </w:rPr>
        <w:t>credentials, production data, or external effects are newly required;</w:t>
      </w:r>
    </w:p>
    <w:p>
      <w:pPr>
        <w:spacing w:after="80" w:line="300" w:lineRule="auto"/>
        <w:numPr>
          <w:ilvl w:val="0"/>
          <w:numId w:val="10"/>
        </w:numPr>
      </w:pPr>
      <w:r>
        <w:rPr>
          <w:rFonts w:ascii="Calibri" w:hAnsi="Calibri"/>
          <w:sz w:val="22"/>
        </w:rPr>
        <w:t>repository state conflicts materially with the selected phase or ADR;</w:t>
      </w:r>
    </w:p>
    <w:p>
      <w:pPr>
        <w:spacing w:after="80" w:line="300" w:lineRule="auto"/>
        <w:numPr>
          <w:ilvl w:val="0"/>
          <w:numId w:val="10"/>
        </w:numPr>
      </w:pPr>
      <w:r>
        <w:rPr>
          <w:rFonts w:ascii="Calibri" w:hAnsi="Calibri"/>
          <w:sz w:val="22"/>
        </w:rPr>
        <w:t>a destructive migration or irreversible operation is required;</w:t>
      </w:r>
    </w:p>
    <w:p>
      <w:pPr>
        <w:spacing w:after="80" w:line="300" w:lineRule="auto"/>
        <w:numPr>
          <w:ilvl w:val="0"/>
          <w:numId w:val="10"/>
        </w:numPr>
      </w:pPr>
      <w:r>
        <w:rPr>
          <w:rFonts w:ascii="Calibri" w:hAnsi="Calibri"/>
          <w:sz w:val="22"/>
        </w:rPr>
        <w:t>security, privacy, residency, or compliance requirements are ambiguous;</w:t>
      </w:r>
    </w:p>
    <w:p>
      <w:pPr>
        <w:spacing w:after="80" w:line="300" w:lineRule="auto"/>
        <w:numPr>
          <w:ilvl w:val="0"/>
          <w:numId w:val="10"/>
        </w:numPr>
      </w:pPr>
      <w:r>
        <w:rPr>
          <w:rFonts w:ascii="Calibri" w:hAnsi="Calibri"/>
          <w:sz w:val="22"/>
        </w:rPr>
        <w:t>a dependency cannot satisfy the required contract without architectural change;</w:t>
      </w:r>
    </w:p>
    <w:p>
      <w:pPr>
        <w:spacing w:after="80" w:line="300" w:lineRule="auto"/>
        <w:numPr>
          <w:ilvl w:val="0"/>
          <w:numId w:val="10"/>
        </w:numPr>
      </w:pPr>
      <w:r>
        <w:rPr>
          <w:rFonts w:ascii="Calibri" w:hAnsi="Calibri"/>
          <w:sz w:val="22"/>
        </w:rPr>
        <w:t>tests reveal inconsistent authoritative state, duplicate effects, budget overrun, cross-tenant access, approval reuse, or secret exposure.</w:t>
      </w:r>
    </w:p>
    <w:p>
      <w:pPr>
        <w:spacing w:after="120" w:line="300" w:lineRule="auto"/>
      </w:pPr>
      <w:r>
        <w:rPr>
          <w:rFonts w:ascii="Calibri" w:hAnsi="Calibri"/>
          <w:sz w:val="22"/>
        </w:rPr>
        <w:t>Ordinary implementation uncertainty is resolved through repository inspection, tests, a reversible default, and an ADR proposal—not by bypassing controls.</w:t>
      </w:r>
    </w:p>
    <w:sectPr w:rsidR="00FC693F" w:rsidRPr="0006063C" w:rsidSect="00034616">
      <w:headerReference w:type="default" r:id="rId9"/>
      <w:footerReference w:type="default" r:id="rId10"/>
      <w:pgSz w:w="12240" w:h="15840"/>
      <w:pgMar w:top="1123" w:right="1440" w:bottom="1037"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Version 1.0  •  Page </w:t>
    </w:r>
    <w:r>
      <w:rPr>
        <w:rFonts w:ascii="Calibri" w:hAnsi="Calibri"/>
        <w:color w:val="5B65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3" w:color="D6DCE3"/>
      </w:pBdr>
    </w:pPr>
    <w:r>
      <w:rPr>
        <w:rFonts w:ascii="Calibri" w:hAnsi="Calibri"/>
        <w:b/>
        <w:color w:val="5B6573"/>
        <w:sz w:val="17"/>
      </w:rPr>
      <w:t>AGENTIC ML/DATA PLATFORM  |  IMPLEMENTATION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540"/>
        </w:tabs>
        <w:ind w:left="540" w:hanging="270"/>
        <w:spacing w:after="80" w:line="300" w:lineRule="auto"/>
      </w:pPr>
      <w:rPr>
        <w:rFonts w:ascii="Symbol" w:hAnsi="Symbol"/>
      </w:rPr>
    </w:lvl>
    <w:lvl w:ilvl="1">
      <w:start w:val="1"/>
      <w:numFmt w:val="bullet"/>
      <w:lvlText w:val=""/>
      <w:lvlJc w:val="left"/>
      <w:pPr>
        <w:tabs>
          <w:tab w:val="num" w:pos="900"/>
        </w:tabs>
        <w:ind w:left="900" w:hanging="270"/>
        <w:spacing w:after="80" w:line="300" w:lineRule="auto"/>
      </w:pPr>
      <w:rPr>
        <w:rFonts w:ascii="Symbol" w:hAnsi="Symbol"/>
      </w:rPr>
    </w:lvl>
    <w:lvl w:ilvl="2">
      <w:start w:val="1"/>
      <w:numFmt w:val="bullet"/>
      <w:lvlText w:val=""/>
      <w:lvlJc w:val="left"/>
      <w:pPr>
        <w:tabs>
          <w:tab w:val="num" w:pos="1260"/>
        </w:tabs>
        <w:ind w:left="1260" w:hanging="270"/>
        <w:spacing w:after="80" w:line="300" w:lineRule="auto"/>
      </w:pPr>
      <w:rPr>
        <w:rFonts w:ascii="Symbol" w:hAnsi="Symbol"/>
      </w:rPr>
    </w:lvl>
  </w:abstractNum>
  <w:num w:numId="10">
    <w:abstractNumId w:val="9"/>
  </w:num>
  <w:abstractNum w:abstractNumId="10">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0B254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ML/Data Platform Implementation Playbook</dc:title>
  <dc:subject>Detailed implementation authority for the end-to-end runtime and harness platform</dc:subject>
  <dc:creator>Codex</dc:creator>
  <cp:keywords>agentic platform, ML platform, runtime, harness, implementation, control plane</cp:keywords>
  <dc:description>Generated from the canonical repository playbook.</dc:description>
  <cp:lastModifiedBy/>
  <cp:revision>1</cp:revision>
  <dcterms:created xsi:type="dcterms:W3CDTF">2013-12-23T23:15:00Z</dcterms:created>
  <dcterms:modified xsi:type="dcterms:W3CDTF">2013-12-23T23:15:00Z</dcterms:modified>
  <cp:category/>
</cp:coreProperties>
</file>