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jc w:val="center"/>
      </w:pPr>
      <w:r>
        <w:rPr>
          <w:rFonts w:ascii="Arial" w:cs="Arial" w:eastAsia="Arial" w:hAnsi="Arial"/>
          <w:b/>
          <w:bCs/>
          <w:color w:val="C5973A"/>
          <w:sz w:val="24"/>
          <w:szCs w:val="24"/>
        </w:rPr>
        <w:t xml:space="preserve">VANTAGE AFRICA SCHOOL OF LEADERSHIP</w:t>
      </w:r>
    </w:p>
    <w:p>
      <w:pPr>
        <w:spacing w:after="200" w:before="0"/>
      </w:pPr>
      <w:r>
        <w:t xml:space="preserve"/>
      </w:r>
    </w:p>
    <w:p>
      <w:pPr>
        <w:pBdr>
          <w:bottom w:val="single" w:color="C5973A" w:sz="8" w:space="4"/>
        </w:pBdr>
        <w:jc w:val="center"/>
      </w:pPr>
      <w:r>
        <w:rPr>
          <w:rFonts w:ascii="Arial" w:cs="Arial" w:eastAsia="Arial" w:hAnsi="Arial"/>
          <w:color w:val="1A1A1A"/>
          <w:sz w:val="22"/>
          <w:szCs w:val="22"/>
        </w:rPr>
        <w:t xml:space="preserve">Technical Proposal for:</w:t>
      </w:r>
    </w:p>
    <w:p>
      <w:pPr>
        <w:spacing w:after="240" w:before="0"/>
      </w:pPr>
      <w:r>
        <w:t xml:space="preserve"/>
      </w:r>
    </w:p>
    <w:p>
      <w:pPr>
        <w:jc w:val="center"/>
      </w:pPr>
      <w:r>
        <w:rPr>
          <w:rFonts w:ascii="Arial" w:cs="Arial" w:eastAsia="Arial" w:hAnsi="Arial"/>
          <w:b/>
          <w:bCs/>
          <w:color w:val="6B0F1A"/>
          <w:sz w:val="52"/>
          <w:szCs w:val="52"/>
        </w:rPr>
        <w:t xml:space="preserve">Consultancy to Train on</w:t>
      </w:r>
    </w:p>
    <w:p>
      <w:pPr>
        <w:jc w:val="center"/>
      </w:pPr>
      <w:r>
        <w:rPr>
          <w:rFonts w:ascii="Arial" w:cs="Arial" w:eastAsia="Arial" w:hAnsi="Arial"/>
          <w:b/>
          <w:bCs/>
          <w:color w:val="6B0F1A"/>
          <w:sz w:val="52"/>
          <w:szCs w:val="52"/>
        </w:rPr>
        <w:t xml:space="preserve">Fundraising and</w:t>
      </w:r>
    </w:p>
    <w:p>
      <w:pPr>
        <w:jc w:val="center"/>
      </w:pPr>
      <w:r>
        <w:rPr>
          <w:rFonts w:ascii="Arial" w:cs="Arial" w:eastAsia="Arial" w:hAnsi="Arial"/>
          <w:b/>
          <w:bCs/>
          <w:color w:val="C5973A"/>
          <w:sz w:val="52"/>
          <w:szCs w:val="52"/>
        </w:rPr>
        <w:t xml:space="preserve">Proposal Writing</w:t>
      </w:r>
    </w:p>
    <w:p>
      <w:pPr>
        <w:spacing w:after="160" w:before="0"/>
      </w:pPr>
      <w:r>
        <w:t xml:space="preserve"/>
      </w:r>
    </w:p>
    <w:p>
      <w:pPr>
        <w:jc w:val="center"/>
      </w:pPr>
      <w:r>
        <w:rPr>
          <w:rFonts w:ascii="Arial" w:cs="Arial" w:eastAsia="Arial" w:hAnsi="Arial"/>
          <w:i/>
          <w:iCs/>
          <w:color w:val="1A1A1A"/>
          <w:sz w:val="24"/>
          <w:szCs w:val="24"/>
        </w:rPr>
        <w:t xml:space="preserve">Strengthening Fundraising Capacity for Peace and Justice Programming</w:t>
      </w:r>
    </w:p>
    <w:p>
      <w:pPr>
        <w:spacing w:after="4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c>
          <w:tcPr>
            <w:tcW w:type="dxa" w:w="4400"/>
            <w:tcBorders>
              <w:top w:val="single" w:color="D4A843" w:sz="1"/>
              <w:left w:val="single" w:color="D4A843" w:sz="1"/>
              <w:bottom w:val="single" w:color="D4A843" w:sz="1"/>
              <w:right w:val="single" w:color="D4A843" w:sz="1"/>
            </w:tcBorders>
            <w:shd w:fill="6B0F1A" w:val="clear"/>
            <w:tcMar>
              <w:top w:type="dxa" w:w="160"/>
              <w:left w:type="dxa" w:w="200"/>
              <w:bottom w:type="dxa" w:w="160"/>
              <w:right w:type="dxa" w:w="200"/>
            </w:tcMar>
          </w:tcPr>
          <w:p>
            <w:pPr>
              <w:jc w:val="center"/>
            </w:pPr>
            <w:r>
              <w:rPr>
                <w:rFonts w:ascii="Arial" w:cs="Arial" w:eastAsia="Arial" w:hAnsi="Arial"/>
                <w:b/>
                <w:bCs/>
                <w:color w:val="C5973A"/>
                <w:sz w:val="22"/>
                <w:szCs w:val="22"/>
              </w:rPr>
              <w:t xml:space="preserve">Prepared by:</w:t>
            </w:r>
          </w:p>
          <w:p>
            <w:pPr>
              <w:spacing w:after="60" w:before="0"/>
            </w:pPr>
            <w:r>
              <w:t xml:space="preserve"/>
            </w:r>
          </w:p>
          <w:p>
            <w:pPr>
              <w:jc w:val="center"/>
            </w:pPr>
            <w:r>
              <w:rPr>
                <w:rFonts w:ascii="Arial" w:cs="Arial" w:eastAsia="Arial" w:hAnsi="Arial"/>
                <w:b/>
                <w:bCs/>
                <w:color w:val="FFFFFF"/>
                <w:sz w:val="22"/>
                <w:szCs w:val="22"/>
              </w:rPr>
              <w:t xml:space="preserve">Vantage Africa School of Leadership</w:t>
            </w:r>
          </w:p>
          <w:p>
            <w:pPr>
              <w:jc w:val="center"/>
            </w:pPr>
            <w:r>
              <w:rPr>
                <w:rFonts w:ascii="Arial" w:cs="Arial" w:eastAsia="Arial" w:hAnsi="Arial"/>
                <w:color w:val="FFFFFF"/>
                <w:sz w:val="20"/>
                <w:szCs w:val="20"/>
              </w:rPr>
              <w:t xml:space="preserve">Dr. Benson Kiarie, PhD | CEO</w:t>
            </w:r>
          </w:p>
          <w:p>
            <w:pPr>
              <w:jc w:val="center"/>
            </w:pPr>
            <w:r>
              <w:rPr>
                <w:rFonts w:ascii="Arial" w:cs="Arial" w:eastAsia="Arial" w:hAnsi="Arial"/>
                <w:color w:val="C5973A"/>
                <w:sz w:val="20"/>
                <w:szCs w:val="20"/>
              </w:rPr>
              <w:t xml:space="preserve">bkiarie@vantageafricaleaders.com</w:t>
            </w:r>
          </w:p>
          <w:p>
            <w:pPr>
              <w:jc w:val="center"/>
            </w:pPr>
            <w:r>
              <w:rPr>
                <w:rFonts w:ascii="Arial" w:cs="Arial" w:eastAsia="Arial" w:hAnsi="Arial"/>
                <w:color w:val="FFFFFF"/>
                <w:sz w:val="20"/>
                <w:szCs w:val="20"/>
              </w:rPr>
              <w:t xml:space="preserve">+254 725 303 645</w:t>
            </w:r>
          </w:p>
          <w:p>
            <w:pPr>
              <w:jc w:val="center"/>
            </w:pPr>
            <w:r>
              <w:rPr>
                <w:rFonts w:ascii="Arial" w:cs="Arial" w:eastAsia="Arial" w:hAnsi="Arial"/>
                <w:color w:val="C5973A"/>
                <w:sz w:val="20"/>
                <w:szCs w:val="20"/>
              </w:rPr>
              <w:t xml:space="preserve">www.vantageafricaleaders.com</w:t>
            </w:r>
          </w:p>
        </w:tc>
        <w:tc>
          <w:tcPr>
            <w:tcW w:type="dxa" w:w="4600"/>
            <w:tcBorders>
              <w:top w:val="single" w:color="D4A843" w:sz="1"/>
              <w:left w:val="single" w:color="D4A843" w:sz="1"/>
              <w:bottom w:val="single" w:color="D4A843" w:sz="1"/>
              <w:right w:val="single" w:color="D4A843" w:sz="1"/>
            </w:tcBorders>
            <w:shd w:fill="F9F3E8" w:val="clear"/>
            <w:tcMar>
              <w:top w:type="dxa" w:w="160"/>
              <w:left w:type="dxa" w:w="200"/>
              <w:bottom w:type="dxa" w:w="160"/>
              <w:right w:type="dxa" w:w="200"/>
            </w:tcMar>
          </w:tcPr>
          <w:p>
            <w:pPr>
              <w:jc w:val="center"/>
            </w:pPr>
            <w:r>
              <w:rPr>
                <w:rFonts w:ascii="Arial" w:cs="Arial" w:eastAsia="Arial" w:hAnsi="Arial"/>
                <w:b/>
                <w:bCs/>
                <w:color w:val="6B0F1A"/>
                <w:sz w:val="22"/>
                <w:szCs w:val="22"/>
              </w:rPr>
              <w:t xml:space="preserve">Submitted to:</w:t>
            </w:r>
          </w:p>
          <w:p>
            <w:pPr>
              <w:spacing w:after="60" w:before="0"/>
            </w:pPr>
            <w:r>
              <w:t xml:space="preserve"/>
            </w:r>
          </w:p>
          <w:p>
            <w:pPr>
              <w:jc w:val="center"/>
            </w:pPr>
            <w:r>
              <w:rPr>
                <w:rFonts w:ascii="Arial" w:cs="Arial" w:eastAsia="Arial" w:hAnsi="Arial"/>
                <w:b/>
                <w:bCs/>
                <w:color w:val="6B0F1A"/>
                <w:sz w:val="22"/>
                <w:szCs w:val="22"/>
              </w:rPr>
              <w:t xml:space="preserve">American Friends Service Committee</w:t>
            </w:r>
          </w:p>
          <w:p>
            <w:pPr>
              <w:jc w:val="center"/>
            </w:pPr>
            <w:r>
              <w:rPr>
                <w:rFonts w:ascii="Arial" w:cs="Arial" w:eastAsia="Arial" w:hAnsi="Arial"/>
                <w:b/>
                <w:bCs/>
                <w:color w:val="6B0F1A"/>
                <w:sz w:val="22"/>
                <w:szCs w:val="22"/>
              </w:rPr>
              <w:t xml:space="preserve">(AFSC)</w:t>
            </w:r>
          </w:p>
          <w:p>
            <w:pPr>
              <w:spacing w:after="60" w:before="0"/>
            </w:pPr>
            <w:r>
              <w:t xml:space="preserve"/>
            </w:r>
          </w:p>
          <w:p>
            <w:pPr>
              <w:jc w:val="center"/>
            </w:pPr>
            <w:r>
              <w:rPr>
                <w:rFonts w:ascii="Arial" w:cs="Arial" w:eastAsia="Arial" w:hAnsi="Arial"/>
                <w:color w:val="1A1A1A"/>
                <w:sz w:val="20"/>
                <w:szCs w:val="20"/>
              </w:rPr>
              <w:t xml:space="preserve">Somalia &amp; South Sudan Programs</w:t>
            </w:r>
          </w:p>
          <w:p>
            <w:pPr>
              <w:spacing w:after="60" w:before="0"/>
            </w:pPr>
            <w:r>
              <w:t xml:space="preserve"/>
            </w:r>
          </w:p>
          <w:p>
            <w:pPr>
              <w:jc w:val="center"/>
            </w:pPr>
            <w:r>
              <w:rPr>
                <w:rFonts w:ascii="Arial" w:cs="Arial" w:eastAsia="Arial" w:hAnsi="Arial"/>
                <w:color w:val="1A1A1A"/>
                <w:sz w:val="20"/>
                <w:szCs w:val="20"/>
              </w:rPr>
              <w:t xml:space="preserve">June 2026</w:t>
            </w:r>
          </w:p>
        </w:tc>
      </w:tr>
    </w:tbl>
    <w:p>
      <w:pPr>
        <w:spacing w:after="3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Practical &amp; Applied</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Conflict-Sensitive</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Donor-Aligned</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Fully Virtual</w:t>
            </w:r>
          </w:p>
        </w:tc>
      </w:tr>
      <w:tr>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Every session links to a real output participants can use</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Contextualized for peace, justice and humanitarian programming</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EU, UN, Foundations and INGO funding landscape included</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Interactive, participatory and tool-rich online delivery</w:t>
            </w:r>
          </w:p>
        </w:tc>
      </w:tr>
    </w:tbl>
    <w:p>
      <w:pPr>
        <w:spacing w:after="300" w:before="0"/>
      </w:pPr>
      <w:r>
        <w:t xml:space="preserve"/>
      </w:r>
    </w:p>
    <w:p>
      <w:pPr>
        <w:pBdr>
          <w:top w:val="single" w:color="C5973A" w:sz="4" w:space="4"/>
        </w:pBdr>
        <w:spacing w:before="100"/>
        <w:jc w:val="center"/>
      </w:pPr>
      <w:r>
        <w:rPr>
          <w:rFonts w:ascii="Arial" w:cs="Arial" w:eastAsia="Arial" w:hAnsi="Arial"/>
          <w:b/>
          <w:bCs/>
          <w:color w:val="6B0F1A"/>
          <w:sz w:val="20"/>
          <w:szCs w:val="20"/>
        </w:rPr>
        <w:t xml:space="preserve">Accredited by: NITA  |  IHRM  |  TVETA  |  KASNEB  |  KISM</w:t>
      </w:r>
    </w:p>
    <w:p>
      <w:r>
        <w:br w:type="page"/>
      </w:r>
    </w:p>
    <w:p>
      <w:pPr>
        <w:pStyle w:val="Heading1"/>
        <w:spacing w:after="100" w:before="320"/>
      </w:pPr>
      <w:r>
        <w:rPr>
          <w:rFonts w:ascii="Arial" w:cs="Arial" w:eastAsia="Arial" w:hAnsi="Arial"/>
          <w:b/>
          <w:bCs/>
          <w:color w:val="6B0F1A"/>
          <w:sz w:val="30"/>
          <w:szCs w:val="30"/>
        </w:rPr>
        <w:t xml:space="preserve">Contents</w:t>
      </w:r>
    </w:p>
    <w:p>
      <w:pPr>
        <w:pBdr>
          <w:bottom w:val="single" w:color="C5973A" w:sz="6" w:space="1"/>
        </w:pBdr>
        <w:spacing w:after="120" w:before="0"/>
      </w:pP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200"/>
      </w:tblGrid>
      <w:tr>
        <w:tc>
          <w:tcPr>
            <w:tcW w:type="dxa" w:w="600"/>
            <w:tcBorders>
              <w:top w:val="none" w:color="FFFFFF" w:sz="0"/>
              <w:left w:val="none" w:color="FFFFFF" w:sz="0"/>
              <w:bottom w:val="none" w:color="FFFFFF" w:sz="0"/>
              <w:right w:val="none" w:color="FFFFFF" w:sz="0"/>
            </w:tcBorders>
            <w:shd w:fill="F9F3E8" w:val="clear"/>
            <w:tcMar>
              <w:top w:type="dxa" w:w="60"/>
              <w:left w:type="dxa" w:w="100"/>
              <w:bottom w:type="dxa" w:w="60"/>
              <w:right w:type="dxa" w:w="60"/>
            </w:tcMar>
          </w:tcPr>
          <w:p>
            <w:r>
              <w:rPr>
                <w:rFonts w:ascii="Arial" w:cs="Arial" w:eastAsia="Arial" w:hAnsi="Arial"/>
                <w:b/>
                <w:bCs/>
                <w:color w:val="C5973A"/>
                <w:sz w:val="22"/>
                <w:szCs w:val="22"/>
              </w:rPr>
              <w:t xml:space="preserve">1.</w:t>
            </w:r>
          </w:p>
        </w:tc>
        <w:tc>
          <w:tcPr>
            <w:tcW w:type="dxa" w:w="7200"/>
            <w:tcBorders>
              <w:top w:val="none" w:color="FFFFFF" w:sz="0"/>
              <w:left w:val="none" w:color="FFFFFF" w:sz="0"/>
              <w:bottom w:val="none" w:color="FFFFFF" w:sz="0"/>
              <w:right w:val="none" w:color="FFFFFF" w:sz="0"/>
            </w:tcBorders>
            <w:shd w:fill="F9F3E8" w:val="clear"/>
            <w:tcMar>
              <w:top w:type="dxa" w:w="60"/>
              <w:left w:type="dxa" w:w="60"/>
              <w:bottom w:type="dxa" w:w="60"/>
              <w:right w:type="dxa" w:w="60"/>
            </w:tcMar>
          </w:tcPr>
          <w:p>
            <w:r>
              <w:rPr>
                <w:rFonts w:ascii="Arial" w:cs="Arial" w:eastAsia="Arial" w:hAnsi="Arial"/>
                <w:color w:val="1A1A1A"/>
                <w:sz w:val="22"/>
                <w:szCs w:val="22"/>
              </w:rPr>
              <w:t xml:space="preserve">Executive Summary</w:t>
            </w:r>
          </w:p>
        </w:tc>
        <w:tc>
          <w:tcPr>
            <w:tcW w:type="dxa" w:w="1200"/>
            <w:tcBorders>
              <w:top w:val="none" w:color="FFFFFF" w:sz="0"/>
              <w:left w:val="none" w:color="FFFFFF" w:sz="0"/>
              <w:bottom w:val="none" w:color="FFFFFF" w:sz="0"/>
              <w:right w:val="none" w:color="FFFFFF" w:sz="0"/>
            </w:tcBorders>
            <w:shd w:fill="F9F3E8" w:val="clear"/>
            <w:tcMar>
              <w:top w:type="dxa" w:w="60"/>
              <w:left w:type="dxa" w:w="60"/>
              <w:bottom w:type="dxa" w:w="60"/>
              <w:right w:type="dxa" w:w="100"/>
            </w:tcMar>
          </w:tcPr>
          <w:p>
            <w:pPr>
              <w:jc w:val="right"/>
            </w:pPr>
            <w:r>
              <w:rPr>
                <w:rFonts w:ascii="Arial" w:cs="Arial" w:eastAsia="Arial" w:hAnsi="Arial"/>
                <w:b/>
                <w:bCs/>
                <w:color w:val="6B0F1A"/>
                <w:sz w:val="22"/>
                <w:szCs w:val="22"/>
              </w:rPr>
              <w:t xml:space="preserve">3</w:t>
            </w:r>
          </w:p>
        </w:tc>
      </w:tr>
      <w:tr>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60"/>
            </w:tcMar>
          </w:tcPr>
          <w:p>
            <w:r>
              <w:rPr>
                <w:rFonts w:ascii="Arial" w:cs="Arial" w:eastAsia="Arial" w:hAnsi="Arial"/>
                <w:b/>
                <w:bCs/>
                <w:color w:val="C5973A"/>
                <w:sz w:val="22"/>
                <w:szCs w:val="22"/>
              </w:rPr>
              <w:t xml:space="preserve">2.</w:t>
            </w:r>
          </w:p>
        </w:tc>
        <w:tc>
          <w:tcPr>
            <w:tcW w:type="dxa" w:w="72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color w:val="1A1A1A"/>
                <w:sz w:val="22"/>
                <w:szCs w:val="22"/>
              </w:rPr>
              <w:t xml:space="preserve">Understanding of the Assignment</w:t>
            </w:r>
          </w:p>
        </w:tc>
        <w:tc>
          <w:tcPr>
            <w:tcW w:type="dxa" w:w="1200"/>
            <w:tcBorders>
              <w:top w:val="none" w:color="FFFFFF" w:sz="0"/>
              <w:left w:val="none" w:color="FFFFFF" w:sz="0"/>
              <w:bottom w:val="none" w:color="FFFFFF" w:sz="0"/>
              <w:right w:val="none" w:color="FFFFFF" w:sz="0"/>
            </w:tcBorders>
            <w:shd w:fill="FFFFFF" w:val="clear"/>
            <w:tcMar>
              <w:top w:type="dxa" w:w="60"/>
              <w:left w:type="dxa" w:w="60"/>
              <w:bottom w:type="dxa" w:w="60"/>
              <w:right w:type="dxa" w:w="100"/>
            </w:tcMar>
          </w:tcPr>
          <w:p>
            <w:pPr>
              <w:jc w:val="right"/>
            </w:pPr>
            <w:r>
              <w:rPr>
                <w:rFonts w:ascii="Arial" w:cs="Arial" w:eastAsia="Arial" w:hAnsi="Arial"/>
                <w:b/>
                <w:bCs/>
                <w:color w:val="6B0F1A"/>
                <w:sz w:val="22"/>
                <w:szCs w:val="22"/>
              </w:rPr>
              <w:t xml:space="preserve">4</w:t>
            </w:r>
          </w:p>
        </w:tc>
      </w:tr>
      <w:tr>
        <w:tc>
          <w:tcPr>
            <w:tcW w:type="dxa" w:w="600"/>
            <w:tcBorders>
              <w:top w:val="none" w:color="FFFFFF" w:sz="0"/>
              <w:left w:val="none" w:color="FFFFFF" w:sz="0"/>
              <w:bottom w:val="none" w:color="FFFFFF" w:sz="0"/>
              <w:right w:val="none" w:color="FFFFFF" w:sz="0"/>
            </w:tcBorders>
            <w:shd w:fill="F9F3E8" w:val="clear"/>
            <w:tcMar>
              <w:top w:type="dxa" w:w="60"/>
              <w:left w:type="dxa" w:w="100"/>
              <w:bottom w:type="dxa" w:w="60"/>
              <w:right w:type="dxa" w:w="60"/>
            </w:tcMar>
          </w:tcPr>
          <w:p>
            <w:r>
              <w:rPr>
                <w:rFonts w:ascii="Arial" w:cs="Arial" w:eastAsia="Arial" w:hAnsi="Arial"/>
                <w:b/>
                <w:bCs/>
                <w:color w:val="C5973A"/>
                <w:sz w:val="22"/>
                <w:szCs w:val="22"/>
              </w:rPr>
              <w:t xml:space="preserve">3.</w:t>
            </w:r>
          </w:p>
        </w:tc>
        <w:tc>
          <w:tcPr>
            <w:tcW w:type="dxa" w:w="7200"/>
            <w:tcBorders>
              <w:top w:val="none" w:color="FFFFFF" w:sz="0"/>
              <w:left w:val="none" w:color="FFFFFF" w:sz="0"/>
              <w:bottom w:val="none" w:color="FFFFFF" w:sz="0"/>
              <w:right w:val="none" w:color="FFFFFF" w:sz="0"/>
            </w:tcBorders>
            <w:shd w:fill="F9F3E8" w:val="clear"/>
            <w:tcMar>
              <w:top w:type="dxa" w:w="60"/>
              <w:left w:type="dxa" w:w="60"/>
              <w:bottom w:type="dxa" w:w="60"/>
              <w:right w:type="dxa" w:w="60"/>
            </w:tcMar>
          </w:tcPr>
          <w:p>
            <w:r>
              <w:rPr>
                <w:rFonts w:ascii="Arial" w:cs="Arial" w:eastAsia="Arial" w:hAnsi="Arial"/>
                <w:color w:val="1A1A1A"/>
                <w:sz w:val="22"/>
                <w:szCs w:val="22"/>
              </w:rPr>
              <w:t xml:space="preserve">Why Fundraising Capacity Matters for AFSC's Mission</w:t>
            </w:r>
          </w:p>
        </w:tc>
        <w:tc>
          <w:tcPr>
            <w:tcW w:type="dxa" w:w="1200"/>
            <w:tcBorders>
              <w:top w:val="none" w:color="FFFFFF" w:sz="0"/>
              <w:left w:val="none" w:color="FFFFFF" w:sz="0"/>
              <w:bottom w:val="none" w:color="FFFFFF" w:sz="0"/>
              <w:right w:val="none" w:color="FFFFFF" w:sz="0"/>
            </w:tcBorders>
            <w:shd w:fill="F9F3E8" w:val="clear"/>
            <w:tcMar>
              <w:top w:type="dxa" w:w="60"/>
              <w:left w:type="dxa" w:w="60"/>
              <w:bottom w:type="dxa" w:w="60"/>
              <w:right w:type="dxa" w:w="100"/>
            </w:tcMar>
          </w:tcPr>
          <w:p>
            <w:pPr>
              <w:jc w:val="right"/>
            </w:pPr>
            <w:r>
              <w:rPr>
                <w:rFonts w:ascii="Arial" w:cs="Arial" w:eastAsia="Arial" w:hAnsi="Arial"/>
                <w:b/>
                <w:bCs/>
                <w:color w:val="6B0F1A"/>
                <w:sz w:val="22"/>
                <w:szCs w:val="22"/>
              </w:rPr>
              <w:t xml:space="preserve">5</w:t>
            </w:r>
          </w:p>
        </w:tc>
      </w:tr>
      <w:tr>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60"/>
            </w:tcMar>
          </w:tcPr>
          <w:p>
            <w:r>
              <w:rPr>
                <w:rFonts w:ascii="Arial" w:cs="Arial" w:eastAsia="Arial" w:hAnsi="Arial"/>
                <w:b/>
                <w:bCs/>
                <w:color w:val="C5973A"/>
                <w:sz w:val="22"/>
                <w:szCs w:val="22"/>
              </w:rPr>
              <w:t xml:space="preserve">4.</w:t>
            </w:r>
          </w:p>
        </w:tc>
        <w:tc>
          <w:tcPr>
            <w:tcW w:type="dxa" w:w="72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color w:val="1A1A1A"/>
                <w:sz w:val="22"/>
                <w:szCs w:val="22"/>
              </w:rPr>
              <w:t xml:space="preserve">Proposed Solution at a Glance</w:t>
            </w:r>
          </w:p>
        </w:tc>
        <w:tc>
          <w:tcPr>
            <w:tcW w:type="dxa" w:w="1200"/>
            <w:tcBorders>
              <w:top w:val="none" w:color="FFFFFF" w:sz="0"/>
              <w:left w:val="none" w:color="FFFFFF" w:sz="0"/>
              <w:bottom w:val="none" w:color="FFFFFF" w:sz="0"/>
              <w:right w:val="none" w:color="FFFFFF" w:sz="0"/>
            </w:tcBorders>
            <w:shd w:fill="FFFFFF" w:val="clear"/>
            <w:tcMar>
              <w:top w:type="dxa" w:w="60"/>
              <w:left w:type="dxa" w:w="60"/>
              <w:bottom w:type="dxa" w:w="60"/>
              <w:right w:type="dxa" w:w="100"/>
            </w:tcMar>
          </w:tcPr>
          <w:p>
            <w:pPr>
              <w:jc w:val="right"/>
            </w:pPr>
            <w:r>
              <w:rPr>
                <w:rFonts w:ascii="Arial" w:cs="Arial" w:eastAsia="Arial" w:hAnsi="Arial"/>
                <w:b/>
                <w:bCs/>
                <w:color w:val="6B0F1A"/>
                <w:sz w:val="22"/>
                <w:szCs w:val="22"/>
              </w:rPr>
              <w:t xml:space="preserve">6</w:t>
            </w:r>
          </w:p>
        </w:tc>
      </w:tr>
      <w:tr>
        <w:tc>
          <w:tcPr>
            <w:tcW w:type="dxa" w:w="600"/>
            <w:tcBorders>
              <w:top w:val="none" w:color="FFFFFF" w:sz="0"/>
              <w:left w:val="none" w:color="FFFFFF" w:sz="0"/>
              <w:bottom w:val="none" w:color="FFFFFF" w:sz="0"/>
              <w:right w:val="none" w:color="FFFFFF" w:sz="0"/>
            </w:tcBorders>
            <w:shd w:fill="F9F3E8" w:val="clear"/>
            <w:tcMar>
              <w:top w:type="dxa" w:w="60"/>
              <w:left w:type="dxa" w:w="100"/>
              <w:bottom w:type="dxa" w:w="60"/>
              <w:right w:type="dxa" w:w="60"/>
            </w:tcMar>
          </w:tcPr>
          <w:p>
            <w:r>
              <w:rPr>
                <w:rFonts w:ascii="Arial" w:cs="Arial" w:eastAsia="Arial" w:hAnsi="Arial"/>
                <w:b/>
                <w:bCs/>
                <w:color w:val="C5973A"/>
                <w:sz w:val="22"/>
                <w:szCs w:val="22"/>
              </w:rPr>
              <w:t xml:space="preserve">5.</w:t>
            </w:r>
          </w:p>
        </w:tc>
        <w:tc>
          <w:tcPr>
            <w:tcW w:type="dxa" w:w="7200"/>
            <w:tcBorders>
              <w:top w:val="none" w:color="FFFFFF" w:sz="0"/>
              <w:left w:val="none" w:color="FFFFFF" w:sz="0"/>
              <w:bottom w:val="none" w:color="FFFFFF" w:sz="0"/>
              <w:right w:val="none" w:color="FFFFFF" w:sz="0"/>
            </w:tcBorders>
            <w:shd w:fill="F9F3E8" w:val="clear"/>
            <w:tcMar>
              <w:top w:type="dxa" w:w="60"/>
              <w:left w:type="dxa" w:w="60"/>
              <w:bottom w:type="dxa" w:w="60"/>
              <w:right w:type="dxa" w:w="60"/>
            </w:tcMar>
          </w:tcPr>
          <w:p>
            <w:r>
              <w:rPr>
                <w:rFonts w:ascii="Arial" w:cs="Arial" w:eastAsia="Arial" w:hAnsi="Arial"/>
                <w:color w:val="1A1A1A"/>
                <w:sz w:val="22"/>
                <w:szCs w:val="22"/>
              </w:rPr>
              <w:t xml:space="preserve">Four-Day Training Schedule</w:t>
            </w:r>
          </w:p>
        </w:tc>
        <w:tc>
          <w:tcPr>
            <w:tcW w:type="dxa" w:w="1200"/>
            <w:tcBorders>
              <w:top w:val="none" w:color="FFFFFF" w:sz="0"/>
              <w:left w:val="none" w:color="FFFFFF" w:sz="0"/>
              <w:bottom w:val="none" w:color="FFFFFF" w:sz="0"/>
              <w:right w:val="none" w:color="FFFFFF" w:sz="0"/>
            </w:tcBorders>
            <w:shd w:fill="F9F3E8" w:val="clear"/>
            <w:tcMar>
              <w:top w:type="dxa" w:w="60"/>
              <w:left w:type="dxa" w:w="60"/>
              <w:bottom w:type="dxa" w:w="60"/>
              <w:right w:type="dxa" w:w="100"/>
            </w:tcMar>
          </w:tcPr>
          <w:p>
            <w:pPr>
              <w:jc w:val="right"/>
            </w:pPr>
            <w:r>
              <w:rPr>
                <w:rFonts w:ascii="Arial" w:cs="Arial" w:eastAsia="Arial" w:hAnsi="Arial"/>
                <w:b/>
                <w:bCs/>
                <w:color w:val="6B0F1A"/>
                <w:sz w:val="22"/>
                <w:szCs w:val="22"/>
              </w:rPr>
              <w:t xml:space="preserve">7</w:t>
            </w:r>
          </w:p>
        </w:tc>
      </w:tr>
      <w:tr>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60"/>
            </w:tcMar>
          </w:tcPr>
          <w:p>
            <w:r>
              <w:rPr>
                <w:rFonts w:ascii="Arial" w:cs="Arial" w:eastAsia="Arial" w:hAnsi="Arial"/>
                <w:b/>
                <w:bCs/>
                <w:color w:val="C5973A"/>
                <w:sz w:val="22"/>
                <w:szCs w:val="22"/>
              </w:rPr>
              <w:t xml:space="preserve">6.</w:t>
            </w:r>
          </w:p>
        </w:tc>
        <w:tc>
          <w:tcPr>
            <w:tcW w:type="dxa" w:w="72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color w:val="1A1A1A"/>
                <w:sz w:val="22"/>
                <w:szCs w:val="22"/>
              </w:rPr>
              <w:t xml:space="preserve">Training Approach and Methodology</w:t>
            </w:r>
          </w:p>
        </w:tc>
        <w:tc>
          <w:tcPr>
            <w:tcW w:type="dxa" w:w="1200"/>
            <w:tcBorders>
              <w:top w:val="none" w:color="FFFFFF" w:sz="0"/>
              <w:left w:val="none" w:color="FFFFFF" w:sz="0"/>
              <w:bottom w:val="none" w:color="FFFFFF" w:sz="0"/>
              <w:right w:val="none" w:color="FFFFFF" w:sz="0"/>
            </w:tcBorders>
            <w:shd w:fill="FFFFFF" w:val="clear"/>
            <w:tcMar>
              <w:top w:type="dxa" w:w="60"/>
              <w:left w:type="dxa" w:w="60"/>
              <w:bottom w:type="dxa" w:w="60"/>
              <w:right w:type="dxa" w:w="100"/>
            </w:tcMar>
          </w:tcPr>
          <w:p>
            <w:pPr>
              <w:jc w:val="right"/>
            </w:pPr>
            <w:r>
              <w:rPr>
                <w:rFonts w:ascii="Arial" w:cs="Arial" w:eastAsia="Arial" w:hAnsi="Arial"/>
                <w:b/>
                <w:bCs/>
                <w:color w:val="6B0F1A"/>
                <w:sz w:val="22"/>
                <w:szCs w:val="22"/>
              </w:rPr>
              <w:t xml:space="preserve">8</w:t>
            </w:r>
          </w:p>
        </w:tc>
      </w:tr>
      <w:tr>
        <w:tc>
          <w:tcPr>
            <w:tcW w:type="dxa" w:w="600"/>
            <w:tcBorders>
              <w:top w:val="none" w:color="FFFFFF" w:sz="0"/>
              <w:left w:val="none" w:color="FFFFFF" w:sz="0"/>
              <w:bottom w:val="none" w:color="FFFFFF" w:sz="0"/>
              <w:right w:val="none" w:color="FFFFFF" w:sz="0"/>
            </w:tcBorders>
            <w:shd w:fill="F9F3E8" w:val="clear"/>
            <w:tcMar>
              <w:top w:type="dxa" w:w="60"/>
              <w:left w:type="dxa" w:w="100"/>
              <w:bottom w:type="dxa" w:w="60"/>
              <w:right w:type="dxa" w:w="60"/>
            </w:tcMar>
          </w:tcPr>
          <w:p>
            <w:r>
              <w:rPr>
                <w:rFonts w:ascii="Arial" w:cs="Arial" w:eastAsia="Arial" w:hAnsi="Arial"/>
                <w:b/>
                <w:bCs/>
                <w:color w:val="C5973A"/>
                <w:sz w:val="22"/>
                <w:szCs w:val="22"/>
              </w:rPr>
              <w:t xml:space="preserve">7.</w:t>
            </w:r>
          </w:p>
        </w:tc>
        <w:tc>
          <w:tcPr>
            <w:tcW w:type="dxa" w:w="7200"/>
            <w:tcBorders>
              <w:top w:val="none" w:color="FFFFFF" w:sz="0"/>
              <w:left w:val="none" w:color="FFFFFF" w:sz="0"/>
              <w:bottom w:val="none" w:color="FFFFFF" w:sz="0"/>
              <w:right w:val="none" w:color="FFFFFF" w:sz="0"/>
            </w:tcBorders>
            <w:shd w:fill="F9F3E8" w:val="clear"/>
            <w:tcMar>
              <w:top w:type="dxa" w:w="60"/>
              <w:left w:type="dxa" w:w="60"/>
              <w:bottom w:type="dxa" w:w="60"/>
              <w:right w:type="dxa" w:w="60"/>
            </w:tcMar>
          </w:tcPr>
          <w:p>
            <w:r>
              <w:rPr>
                <w:rFonts w:ascii="Arial" w:cs="Arial" w:eastAsia="Arial" w:hAnsi="Arial"/>
                <w:color w:val="1A1A1A"/>
                <w:sz w:val="22"/>
                <w:szCs w:val="22"/>
              </w:rPr>
              <w:t xml:space="preserve">Practical Deliverables and Outputs</w:t>
            </w:r>
          </w:p>
        </w:tc>
        <w:tc>
          <w:tcPr>
            <w:tcW w:type="dxa" w:w="1200"/>
            <w:tcBorders>
              <w:top w:val="none" w:color="FFFFFF" w:sz="0"/>
              <w:left w:val="none" w:color="FFFFFF" w:sz="0"/>
              <w:bottom w:val="none" w:color="FFFFFF" w:sz="0"/>
              <w:right w:val="none" w:color="FFFFFF" w:sz="0"/>
            </w:tcBorders>
            <w:shd w:fill="F9F3E8" w:val="clear"/>
            <w:tcMar>
              <w:top w:type="dxa" w:w="60"/>
              <w:left w:type="dxa" w:w="60"/>
              <w:bottom w:type="dxa" w:w="60"/>
              <w:right w:type="dxa" w:w="100"/>
            </w:tcMar>
          </w:tcPr>
          <w:p>
            <w:pPr>
              <w:jc w:val="right"/>
            </w:pPr>
            <w:r>
              <w:rPr>
                <w:rFonts w:ascii="Arial" w:cs="Arial" w:eastAsia="Arial" w:hAnsi="Arial"/>
                <w:b/>
                <w:bCs/>
                <w:color w:val="6B0F1A"/>
                <w:sz w:val="22"/>
                <w:szCs w:val="22"/>
              </w:rPr>
              <w:t xml:space="preserve">9</w:t>
            </w:r>
          </w:p>
        </w:tc>
      </w:tr>
      <w:tr>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60"/>
            </w:tcMar>
          </w:tcPr>
          <w:p>
            <w:r>
              <w:rPr>
                <w:rFonts w:ascii="Arial" w:cs="Arial" w:eastAsia="Arial" w:hAnsi="Arial"/>
                <w:b/>
                <w:bCs/>
                <w:color w:val="C5973A"/>
                <w:sz w:val="22"/>
                <w:szCs w:val="22"/>
              </w:rPr>
              <w:t xml:space="preserve">8.</w:t>
            </w:r>
          </w:p>
        </w:tc>
        <w:tc>
          <w:tcPr>
            <w:tcW w:type="dxa" w:w="72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color w:val="1A1A1A"/>
                <w:sz w:val="22"/>
                <w:szCs w:val="22"/>
              </w:rPr>
              <w:t xml:space="preserve">Contextualisation for Peacebuilding and Humanitarian Programming</w:t>
            </w:r>
          </w:p>
        </w:tc>
        <w:tc>
          <w:tcPr>
            <w:tcW w:type="dxa" w:w="1200"/>
            <w:tcBorders>
              <w:top w:val="none" w:color="FFFFFF" w:sz="0"/>
              <w:left w:val="none" w:color="FFFFFF" w:sz="0"/>
              <w:bottom w:val="none" w:color="FFFFFF" w:sz="0"/>
              <w:right w:val="none" w:color="FFFFFF" w:sz="0"/>
            </w:tcBorders>
            <w:shd w:fill="FFFFFF" w:val="clear"/>
            <w:tcMar>
              <w:top w:type="dxa" w:w="60"/>
              <w:left w:type="dxa" w:w="60"/>
              <w:bottom w:type="dxa" w:w="60"/>
              <w:right w:type="dxa" w:w="100"/>
            </w:tcMar>
          </w:tcPr>
          <w:p>
            <w:pPr>
              <w:jc w:val="right"/>
            </w:pPr>
            <w:r>
              <w:rPr>
                <w:rFonts w:ascii="Arial" w:cs="Arial" w:eastAsia="Arial" w:hAnsi="Arial"/>
                <w:b/>
                <w:bCs/>
                <w:color w:val="6B0F1A"/>
                <w:sz w:val="22"/>
                <w:szCs w:val="22"/>
              </w:rPr>
              <w:t xml:space="preserve">10</w:t>
            </w:r>
          </w:p>
        </w:tc>
      </w:tr>
      <w:tr>
        <w:tc>
          <w:tcPr>
            <w:tcW w:type="dxa" w:w="600"/>
            <w:tcBorders>
              <w:top w:val="none" w:color="FFFFFF" w:sz="0"/>
              <w:left w:val="none" w:color="FFFFFF" w:sz="0"/>
              <w:bottom w:val="none" w:color="FFFFFF" w:sz="0"/>
              <w:right w:val="none" w:color="FFFFFF" w:sz="0"/>
            </w:tcBorders>
            <w:shd w:fill="F9F3E8" w:val="clear"/>
            <w:tcMar>
              <w:top w:type="dxa" w:w="60"/>
              <w:left w:type="dxa" w:w="100"/>
              <w:bottom w:type="dxa" w:w="60"/>
              <w:right w:type="dxa" w:w="60"/>
            </w:tcMar>
          </w:tcPr>
          <w:p>
            <w:r>
              <w:rPr>
                <w:rFonts w:ascii="Arial" w:cs="Arial" w:eastAsia="Arial" w:hAnsi="Arial"/>
                <w:b/>
                <w:bCs/>
                <w:color w:val="C5973A"/>
                <w:sz w:val="22"/>
                <w:szCs w:val="22"/>
              </w:rPr>
              <w:t xml:space="preserve">9.</w:t>
            </w:r>
          </w:p>
        </w:tc>
        <w:tc>
          <w:tcPr>
            <w:tcW w:type="dxa" w:w="7200"/>
            <w:tcBorders>
              <w:top w:val="none" w:color="FFFFFF" w:sz="0"/>
              <w:left w:val="none" w:color="FFFFFF" w:sz="0"/>
              <w:bottom w:val="none" w:color="FFFFFF" w:sz="0"/>
              <w:right w:val="none" w:color="FFFFFF" w:sz="0"/>
            </w:tcBorders>
            <w:shd w:fill="F9F3E8" w:val="clear"/>
            <w:tcMar>
              <w:top w:type="dxa" w:w="60"/>
              <w:left w:type="dxa" w:w="60"/>
              <w:bottom w:type="dxa" w:w="60"/>
              <w:right w:type="dxa" w:w="60"/>
            </w:tcMar>
          </w:tcPr>
          <w:p>
            <w:r>
              <w:rPr>
                <w:rFonts w:ascii="Arial" w:cs="Arial" w:eastAsia="Arial" w:hAnsi="Arial"/>
                <w:color w:val="1A1A1A"/>
                <w:sz w:val="22"/>
                <w:szCs w:val="22"/>
              </w:rPr>
              <w:t xml:space="preserve">Theory of Change for Fundraising Capacity</w:t>
            </w:r>
          </w:p>
        </w:tc>
        <w:tc>
          <w:tcPr>
            <w:tcW w:type="dxa" w:w="1200"/>
            <w:tcBorders>
              <w:top w:val="none" w:color="FFFFFF" w:sz="0"/>
              <w:left w:val="none" w:color="FFFFFF" w:sz="0"/>
              <w:bottom w:val="none" w:color="FFFFFF" w:sz="0"/>
              <w:right w:val="none" w:color="FFFFFF" w:sz="0"/>
            </w:tcBorders>
            <w:shd w:fill="F9F3E8" w:val="clear"/>
            <w:tcMar>
              <w:top w:type="dxa" w:w="60"/>
              <w:left w:type="dxa" w:w="60"/>
              <w:bottom w:type="dxa" w:w="60"/>
              <w:right w:type="dxa" w:w="100"/>
            </w:tcMar>
          </w:tcPr>
          <w:p>
            <w:pPr>
              <w:jc w:val="right"/>
            </w:pPr>
            <w:r>
              <w:rPr>
                <w:rFonts w:ascii="Arial" w:cs="Arial" w:eastAsia="Arial" w:hAnsi="Arial"/>
                <w:b/>
                <w:bCs/>
                <w:color w:val="6B0F1A"/>
                <w:sz w:val="22"/>
                <w:szCs w:val="22"/>
              </w:rPr>
              <w:t xml:space="preserve">11</w:t>
            </w:r>
          </w:p>
        </w:tc>
      </w:tr>
      <w:tr>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60"/>
            </w:tcMar>
          </w:tcPr>
          <w:p>
            <w:r>
              <w:rPr>
                <w:rFonts w:ascii="Arial" w:cs="Arial" w:eastAsia="Arial" w:hAnsi="Arial"/>
                <w:b/>
                <w:bCs/>
                <w:color w:val="C5973A"/>
                <w:sz w:val="22"/>
                <w:szCs w:val="22"/>
              </w:rPr>
              <w:t xml:space="preserve">10.</w:t>
            </w:r>
          </w:p>
        </w:tc>
        <w:tc>
          <w:tcPr>
            <w:tcW w:type="dxa" w:w="72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color w:val="1A1A1A"/>
                <w:sz w:val="22"/>
                <w:szCs w:val="22"/>
              </w:rPr>
              <w:t xml:space="preserve">Learning Evaluation and Post-Training Support</w:t>
            </w:r>
          </w:p>
        </w:tc>
        <w:tc>
          <w:tcPr>
            <w:tcW w:type="dxa" w:w="1200"/>
            <w:tcBorders>
              <w:top w:val="none" w:color="FFFFFF" w:sz="0"/>
              <w:left w:val="none" w:color="FFFFFF" w:sz="0"/>
              <w:bottom w:val="none" w:color="FFFFFF" w:sz="0"/>
              <w:right w:val="none" w:color="FFFFFF" w:sz="0"/>
            </w:tcBorders>
            <w:shd w:fill="FFFFFF" w:val="clear"/>
            <w:tcMar>
              <w:top w:type="dxa" w:w="60"/>
              <w:left w:type="dxa" w:w="60"/>
              <w:bottom w:type="dxa" w:w="60"/>
              <w:right w:type="dxa" w:w="100"/>
            </w:tcMar>
          </w:tcPr>
          <w:p>
            <w:pPr>
              <w:jc w:val="right"/>
            </w:pPr>
            <w:r>
              <w:rPr>
                <w:rFonts w:ascii="Arial" w:cs="Arial" w:eastAsia="Arial" w:hAnsi="Arial"/>
                <w:b/>
                <w:bCs/>
                <w:color w:val="6B0F1A"/>
                <w:sz w:val="22"/>
                <w:szCs w:val="22"/>
              </w:rPr>
              <w:t xml:space="preserve">12</w:t>
            </w:r>
          </w:p>
        </w:tc>
      </w:tr>
      <w:tr>
        <w:tc>
          <w:tcPr>
            <w:tcW w:type="dxa" w:w="600"/>
            <w:tcBorders>
              <w:top w:val="none" w:color="FFFFFF" w:sz="0"/>
              <w:left w:val="none" w:color="FFFFFF" w:sz="0"/>
              <w:bottom w:val="none" w:color="FFFFFF" w:sz="0"/>
              <w:right w:val="none" w:color="FFFFFF" w:sz="0"/>
            </w:tcBorders>
            <w:shd w:fill="F9F3E8" w:val="clear"/>
            <w:tcMar>
              <w:top w:type="dxa" w:w="60"/>
              <w:left w:type="dxa" w:w="100"/>
              <w:bottom w:type="dxa" w:w="60"/>
              <w:right w:type="dxa" w:w="60"/>
            </w:tcMar>
          </w:tcPr>
          <w:p>
            <w:r>
              <w:rPr>
                <w:rFonts w:ascii="Arial" w:cs="Arial" w:eastAsia="Arial" w:hAnsi="Arial"/>
                <w:b/>
                <w:bCs/>
                <w:color w:val="C5973A"/>
                <w:sz w:val="22"/>
                <w:szCs w:val="22"/>
              </w:rPr>
              <w:t xml:space="preserve">11.</w:t>
            </w:r>
          </w:p>
        </w:tc>
        <w:tc>
          <w:tcPr>
            <w:tcW w:type="dxa" w:w="7200"/>
            <w:tcBorders>
              <w:top w:val="none" w:color="FFFFFF" w:sz="0"/>
              <w:left w:val="none" w:color="FFFFFF" w:sz="0"/>
              <w:bottom w:val="none" w:color="FFFFFF" w:sz="0"/>
              <w:right w:val="none" w:color="FFFFFF" w:sz="0"/>
            </w:tcBorders>
            <w:shd w:fill="F9F3E8" w:val="clear"/>
            <w:tcMar>
              <w:top w:type="dxa" w:w="60"/>
              <w:left w:type="dxa" w:w="60"/>
              <w:bottom w:type="dxa" w:w="60"/>
              <w:right w:type="dxa" w:w="60"/>
            </w:tcMar>
          </w:tcPr>
          <w:p>
            <w:r>
              <w:rPr>
                <w:rFonts w:ascii="Arial" w:cs="Arial" w:eastAsia="Arial" w:hAnsi="Arial"/>
                <w:color w:val="1A1A1A"/>
                <w:sz w:val="22"/>
                <w:szCs w:val="22"/>
              </w:rPr>
              <w:t xml:space="preserve">Lead Consultant: Dr. Benson Kiarie, PhD</w:t>
            </w:r>
          </w:p>
        </w:tc>
        <w:tc>
          <w:tcPr>
            <w:tcW w:type="dxa" w:w="1200"/>
            <w:tcBorders>
              <w:top w:val="none" w:color="FFFFFF" w:sz="0"/>
              <w:left w:val="none" w:color="FFFFFF" w:sz="0"/>
              <w:bottom w:val="none" w:color="FFFFFF" w:sz="0"/>
              <w:right w:val="none" w:color="FFFFFF" w:sz="0"/>
            </w:tcBorders>
            <w:shd w:fill="F9F3E8" w:val="clear"/>
            <w:tcMar>
              <w:top w:type="dxa" w:w="60"/>
              <w:left w:type="dxa" w:w="60"/>
              <w:bottom w:type="dxa" w:w="60"/>
              <w:right w:type="dxa" w:w="100"/>
            </w:tcMar>
          </w:tcPr>
          <w:p>
            <w:pPr>
              <w:jc w:val="right"/>
            </w:pPr>
            <w:r>
              <w:rPr>
                <w:rFonts w:ascii="Arial" w:cs="Arial" w:eastAsia="Arial" w:hAnsi="Arial"/>
                <w:b/>
                <w:bCs/>
                <w:color w:val="6B0F1A"/>
                <w:sz w:val="22"/>
                <w:szCs w:val="22"/>
              </w:rPr>
              <w:t xml:space="preserve">13</w:t>
            </w:r>
          </w:p>
        </w:tc>
      </w:tr>
      <w:tr>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60"/>
            </w:tcMar>
          </w:tcPr>
          <w:p>
            <w:r>
              <w:rPr>
                <w:rFonts w:ascii="Arial" w:cs="Arial" w:eastAsia="Arial" w:hAnsi="Arial"/>
                <w:b/>
                <w:bCs/>
                <w:color w:val="C5973A"/>
                <w:sz w:val="22"/>
                <w:szCs w:val="22"/>
              </w:rPr>
              <w:t xml:space="preserve">12.</w:t>
            </w:r>
          </w:p>
        </w:tc>
        <w:tc>
          <w:tcPr>
            <w:tcW w:type="dxa" w:w="72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color w:val="1A1A1A"/>
                <w:sz w:val="22"/>
                <w:szCs w:val="22"/>
              </w:rPr>
              <w:t xml:space="preserve">Key Consultant: Edwin Wekesa Wafula</w:t>
            </w:r>
          </w:p>
        </w:tc>
        <w:tc>
          <w:tcPr>
            <w:tcW w:type="dxa" w:w="1200"/>
            <w:tcBorders>
              <w:top w:val="none" w:color="FFFFFF" w:sz="0"/>
              <w:left w:val="none" w:color="FFFFFF" w:sz="0"/>
              <w:bottom w:val="none" w:color="FFFFFF" w:sz="0"/>
              <w:right w:val="none" w:color="FFFFFF" w:sz="0"/>
            </w:tcBorders>
            <w:shd w:fill="FFFFFF" w:val="clear"/>
            <w:tcMar>
              <w:top w:type="dxa" w:w="60"/>
              <w:left w:type="dxa" w:w="60"/>
              <w:bottom w:type="dxa" w:w="60"/>
              <w:right w:type="dxa" w:w="100"/>
            </w:tcMar>
          </w:tcPr>
          <w:p>
            <w:pPr>
              <w:jc w:val="right"/>
            </w:pPr>
            <w:r>
              <w:rPr>
                <w:rFonts w:ascii="Arial" w:cs="Arial" w:eastAsia="Arial" w:hAnsi="Arial"/>
                <w:b/>
                <w:bCs/>
                <w:color w:val="6B0F1A"/>
                <w:sz w:val="22"/>
                <w:szCs w:val="22"/>
              </w:rPr>
              <w:t xml:space="preserve">14</w:t>
            </w:r>
          </w:p>
        </w:tc>
      </w:tr>
      <w:tr>
        <w:tc>
          <w:tcPr>
            <w:tcW w:type="dxa" w:w="600"/>
            <w:tcBorders>
              <w:top w:val="none" w:color="FFFFFF" w:sz="0"/>
              <w:left w:val="none" w:color="FFFFFF" w:sz="0"/>
              <w:bottom w:val="none" w:color="FFFFFF" w:sz="0"/>
              <w:right w:val="none" w:color="FFFFFF" w:sz="0"/>
            </w:tcBorders>
            <w:shd w:fill="F9F3E8" w:val="clear"/>
            <w:tcMar>
              <w:top w:type="dxa" w:w="60"/>
              <w:left w:type="dxa" w:w="100"/>
              <w:bottom w:type="dxa" w:w="60"/>
              <w:right w:type="dxa" w:w="60"/>
            </w:tcMar>
          </w:tcPr>
          <w:p>
            <w:r>
              <w:rPr>
                <w:rFonts w:ascii="Arial" w:cs="Arial" w:eastAsia="Arial" w:hAnsi="Arial"/>
                <w:b/>
                <w:bCs/>
                <w:color w:val="C5973A"/>
                <w:sz w:val="22"/>
                <w:szCs w:val="22"/>
              </w:rPr>
              <w:t xml:space="preserve">13.</w:t>
            </w:r>
          </w:p>
        </w:tc>
        <w:tc>
          <w:tcPr>
            <w:tcW w:type="dxa" w:w="7200"/>
            <w:tcBorders>
              <w:top w:val="none" w:color="FFFFFF" w:sz="0"/>
              <w:left w:val="none" w:color="FFFFFF" w:sz="0"/>
              <w:bottom w:val="none" w:color="FFFFFF" w:sz="0"/>
              <w:right w:val="none" w:color="FFFFFF" w:sz="0"/>
            </w:tcBorders>
            <w:shd w:fill="F9F3E8" w:val="clear"/>
            <w:tcMar>
              <w:top w:type="dxa" w:w="60"/>
              <w:left w:type="dxa" w:w="60"/>
              <w:bottom w:type="dxa" w:w="60"/>
              <w:right w:type="dxa" w:w="60"/>
            </w:tcMar>
          </w:tcPr>
          <w:p>
            <w:r>
              <w:rPr>
                <w:rFonts w:ascii="Arial" w:cs="Arial" w:eastAsia="Arial" w:hAnsi="Arial"/>
                <w:color w:val="1A1A1A"/>
                <w:sz w:val="22"/>
                <w:szCs w:val="22"/>
              </w:rPr>
              <w:t xml:space="preserve">Similar Assignments and Institutional Experience</w:t>
            </w:r>
          </w:p>
        </w:tc>
        <w:tc>
          <w:tcPr>
            <w:tcW w:type="dxa" w:w="1200"/>
            <w:tcBorders>
              <w:top w:val="none" w:color="FFFFFF" w:sz="0"/>
              <w:left w:val="none" w:color="FFFFFF" w:sz="0"/>
              <w:bottom w:val="none" w:color="FFFFFF" w:sz="0"/>
              <w:right w:val="none" w:color="FFFFFF" w:sz="0"/>
            </w:tcBorders>
            <w:shd w:fill="F9F3E8" w:val="clear"/>
            <w:tcMar>
              <w:top w:type="dxa" w:w="60"/>
              <w:left w:type="dxa" w:w="60"/>
              <w:bottom w:type="dxa" w:w="60"/>
              <w:right w:type="dxa" w:w="100"/>
            </w:tcMar>
          </w:tcPr>
          <w:p>
            <w:pPr>
              <w:jc w:val="right"/>
            </w:pPr>
            <w:r>
              <w:rPr>
                <w:rFonts w:ascii="Arial" w:cs="Arial" w:eastAsia="Arial" w:hAnsi="Arial"/>
                <w:b/>
                <w:bCs/>
                <w:color w:val="6B0F1A"/>
                <w:sz w:val="22"/>
                <w:szCs w:val="22"/>
              </w:rPr>
              <w:t xml:space="preserve">15</w:t>
            </w:r>
          </w:p>
        </w:tc>
      </w:tr>
      <w:tr>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60"/>
            </w:tcMar>
          </w:tcPr>
          <w:p>
            <w:r>
              <w:rPr>
                <w:rFonts w:ascii="Arial" w:cs="Arial" w:eastAsia="Arial" w:hAnsi="Arial"/>
                <w:b/>
                <w:bCs/>
                <w:color w:val="C5973A"/>
                <w:sz w:val="22"/>
                <w:szCs w:val="22"/>
              </w:rPr>
              <w:t xml:space="preserve">14.</w:t>
            </w:r>
          </w:p>
        </w:tc>
        <w:tc>
          <w:tcPr>
            <w:tcW w:type="dxa" w:w="72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color w:val="1A1A1A"/>
                <w:sz w:val="22"/>
                <w:szCs w:val="22"/>
              </w:rPr>
              <w:t xml:space="preserve">Quality Assurance, Workplan and Closing Statement</w:t>
            </w:r>
          </w:p>
        </w:tc>
        <w:tc>
          <w:tcPr>
            <w:tcW w:type="dxa" w:w="1200"/>
            <w:tcBorders>
              <w:top w:val="none" w:color="FFFFFF" w:sz="0"/>
              <w:left w:val="none" w:color="FFFFFF" w:sz="0"/>
              <w:bottom w:val="none" w:color="FFFFFF" w:sz="0"/>
              <w:right w:val="none" w:color="FFFFFF" w:sz="0"/>
            </w:tcBorders>
            <w:shd w:fill="FFFFFF" w:val="clear"/>
            <w:tcMar>
              <w:top w:type="dxa" w:w="60"/>
              <w:left w:type="dxa" w:w="60"/>
              <w:bottom w:type="dxa" w:w="60"/>
              <w:right w:type="dxa" w:w="100"/>
            </w:tcMar>
          </w:tcPr>
          <w:p>
            <w:pPr>
              <w:jc w:val="right"/>
            </w:pPr>
            <w:r>
              <w:rPr>
                <w:rFonts w:ascii="Arial" w:cs="Arial" w:eastAsia="Arial" w:hAnsi="Arial"/>
                <w:b/>
                <w:bCs/>
                <w:color w:val="6B0F1A"/>
                <w:sz w:val="22"/>
                <w:szCs w:val="22"/>
              </w:rPr>
              <w:t xml:space="preserve">16</w:t>
            </w:r>
          </w:p>
        </w:tc>
      </w:tr>
    </w:tbl>
    <w:p>
      <w:r>
        <w:br w:type="page"/>
      </w:r>
    </w:p>
    <w:p>
      <w:pPr>
        <w:pStyle w:val="Heading1"/>
        <w:spacing w:after="100" w:before="320"/>
      </w:pPr>
      <w:r>
        <w:rPr>
          <w:rFonts w:ascii="Arial" w:cs="Arial" w:eastAsia="Arial" w:hAnsi="Arial"/>
          <w:b/>
          <w:bCs/>
          <w:color w:val="6B0F1A"/>
          <w:sz w:val="30"/>
          <w:szCs w:val="30"/>
        </w:rPr>
        <w:t xml:space="preserve">1. Executive Summary</w:t>
      </w:r>
    </w:p>
    <w:p>
      <w:pPr>
        <w:pBdr>
          <w:bottom w:val="single" w:color="C5973A" w:sz="6" w:space="1"/>
        </w:pBdr>
        <w:spacing w:after="120" w:before="0"/>
      </w:pPr>
    </w:p>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American Friends Service Committee (AFSC) operates in some of the world's most complex and under-resourced contexts — Somalia and South Sudan — where peacebuilding, healing, and social cohesion depend not only on strong programming, but on the sustained ability to attract and secure funding. Vantage Africa School of Leadership is pleased to present this technical proposal for a four-day virtual training in Fundraising and Proposal Writing, designed to strengthen AFSC's internal teams and local partner organizations in developing competitive, donor-aligned proposals.</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6B0F1A" w:val="clear"/>
            <w:tcMar>
              <w:top w:type="dxa" w:w="120"/>
              <w:left w:type="dxa" w:w="160"/>
              <w:bottom w:type="dxa" w:w="120"/>
              <w:right w:type="dxa" w:w="160"/>
            </w:tcMar>
          </w:tcPr>
          <w:p>
            <w:r>
              <w:rPr>
                <w:rFonts w:ascii="Arial" w:cs="Arial" w:eastAsia="Arial" w:hAnsi="Arial"/>
                <w:b/>
                <w:bCs/>
                <w:color w:val="C5973A"/>
                <w:sz w:val="24"/>
                <w:szCs w:val="24"/>
              </w:rPr>
              <w:t xml:space="preserve">What AFSC will gain</w:t>
            </w:r>
          </w:p>
          <w:p>
            <w:pPr>
              <w:spacing w:after="60" w:before="0"/>
            </w:pPr>
            <w:r>
              <w:t xml:space="preserve"/>
            </w:r>
          </w:p>
          <w:p>
            <w:r>
              <w:rPr>
                <w:rFonts w:ascii="Arial" w:cs="Arial" w:eastAsia="Arial" w:hAnsi="Arial"/>
                <w:color w:val="FFFFFF"/>
                <w:sz w:val="21"/>
                <w:szCs w:val="21"/>
              </w:rPr>
              <w:t xml:space="preserve">A practical four-day learning journey covering the full proposal development cycle — from donor mapping and concept note design to Theory of Change, logical frameworks, budgeting and writing compelling proposals that win funding.</w:t>
            </w:r>
          </w:p>
        </w:tc>
        <w:tc>
          <w:tcPr>
            <w:tcW w:type="dxa" w:w="4500"/>
            <w:tcBorders>
              <w:top w:val="single" w:color="D4A843" w:sz="1"/>
              <w:left w:val="single" w:color="D4A843" w:sz="1"/>
              <w:bottom w:val="single" w:color="D4A843" w:sz="1"/>
              <w:right w:val="single" w:color="D4A843" w:sz="1"/>
            </w:tcBorders>
            <w:shd w:fill="F9F3E8" w:val="clear"/>
            <w:tcMar>
              <w:top w:type="dxa" w:w="120"/>
              <w:left w:type="dxa" w:w="160"/>
              <w:bottom w:type="dxa" w:w="120"/>
              <w:right w:type="dxa" w:w="160"/>
            </w:tcMar>
          </w:tcPr>
          <w:p>
            <w:r>
              <w:rPr>
                <w:rFonts w:ascii="Arial" w:cs="Arial" w:eastAsia="Arial" w:hAnsi="Arial"/>
                <w:b/>
                <w:bCs/>
                <w:color w:val="6B0F1A"/>
                <w:sz w:val="24"/>
                <w:szCs w:val="24"/>
              </w:rPr>
              <w:t xml:space="preserve">How the programme is designed</w:t>
            </w:r>
          </w:p>
          <w:p>
            <w:pPr>
              <w:spacing w:after="60" w:before="0"/>
            </w:pPr>
            <w:r>
              <w:t xml:space="preserve"/>
            </w:r>
          </w:p>
          <w:p>
            <w:r>
              <w:rPr>
                <w:rFonts w:ascii="Arial" w:cs="Arial" w:eastAsia="Arial" w:hAnsi="Arial"/>
                <w:color w:val="1A1A1A"/>
                <w:sz w:val="21"/>
                <w:szCs w:val="21"/>
              </w:rPr>
              <w:t xml:space="preserve">Built around AFSC's thematic areas of Just Peace and Just Migration, the programme is contextualized for humanitarian and peacebuilding programming. It uses participatory methods, real donor case studies, live drafting exercises and peer review to ensure participants leave with usable skills and tools.</w:t>
            </w:r>
          </w:p>
        </w:tc>
      </w:tr>
    </w:tbl>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4A843" w:sz="1"/>
              <w:left w:val="single" w:color="D4A843" w:sz="1"/>
              <w:bottom w:val="single" w:color="D4A843" w:sz="1"/>
              <w:right w:val="single" w:color="D4A843" w:sz="1"/>
            </w:tcBorders>
            <w:shd w:fill="F5E6C8" w:val="clear"/>
            <w:tcMar>
              <w:top w:type="dxa" w:w="140"/>
              <w:left w:type="dxa" w:w="200"/>
              <w:bottom w:type="dxa" w:w="140"/>
              <w:right w:type="dxa" w:w="200"/>
            </w:tcMar>
          </w:tcPr>
          <w:p>
            <w:pPr>
              <w:jc w:val="both"/>
            </w:pPr>
            <w:r>
              <w:rPr>
                <w:rFonts w:ascii="Arial" w:cs="Arial" w:eastAsia="Arial" w:hAnsi="Arial"/>
                <w:b/>
                <w:bCs/>
                <w:i w:val="false"/>
                <w:iCs w:val="false"/>
                <w:color w:val="6B0F1A"/>
                <w:sz w:val="22"/>
                <w:szCs w:val="22"/>
              </w:rPr>
              <w:t xml:space="preserve">By the end of the four days, participants will be equipped to identify funding opportunities, structure concept notes and full proposals, apply Theory of Change thinking, align with donor priorities and develop budgets — with practical templates and tools they can use immediately.</w:t>
            </w:r>
          </w:p>
        </w:tc>
      </w:tr>
    </w:tbl>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100"/>
              <w:right w:type="dxa" w:w="120"/>
            </w:tcMar>
          </w:tcPr>
          <w:p>
            <w:pPr>
              <w:jc w:val="center"/>
            </w:pPr>
            <w:r>
              <w:rPr>
                <w:rFonts w:ascii="Arial" w:cs="Arial" w:eastAsia="Arial" w:hAnsi="Arial"/>
                <w:b/>
                <w:bCs/>
                <w:color w:val="C5973A"/>
                <w:sz w:val="22"/>
                <w:szCs w:val="22"/>
              </w:rPr>
              <w:t xml:space="preserve">4 Days</w:t>
            </w:r>
          </w:p>
          <w:p>
            <w:pPr>
              <w:jc w:val="center"/>
            </w:pPr>
            <w:r>
              <w:rPr>
                <w:rFonts w:ascii="Arial" w:cs="Arial" w:eastAsia="Arial" w:hAnsi="Arial"/>
                <w:color w:val="FFFFFF"/>
                <w:sz w:val="19"/>
                <w:szCs w:val="19"/>
              </w:rPr>
              <w:t xml:space="preserve">Virtual interactive training</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100"/>
              <w:right w:type="dxa" w:w="120"/>
            </w:tcMar>
          </w:tcPr>
          <w:p>
            <w:pPr>
              <w:jc w:val="center"/>
            </w:pPr>
            <w:r>
              <w:rPr>
                <w:rFonts w:ascii="Arial" w:cs="Arial" w:eastAsia="Arial" w:hAnsi="Arial"/>
                <w:b/>
                <w:bCs/>
                <w:color w:val="C5973A"/>
                <w:sz w:val="22"/>
                <w:szCs w:val="22"/>
              </w:rPr>
              <w:t xml:space="preserve">Conflict-Sensitive</w:t>
            </w:r>
          </w:p>
          <w:p>
            <w:pPr>
              <w:jc w:val="center"/>
            </w:pPr>
            <w:r>
              <w:rPr>
                <w:rFonts w:ascii="Arial" w:cs="Arial" w:eastAsia="Arial" w:hAnsi="Arial"/>
                <w:color w:val="FFFFFF"/>
                <w:sz w:val="19"/>
                <w:szCs w:val="19"/>
              </w:rPr>
              <w:t xml:space="preserve">Peace &amp; humanitarian context</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100"/>
              <w:right w:type="dxa" w:w="120"/>
            </w:tcMar>
          </w:tcPr>
          <w:p>
            <w:pPr>
              <w:jc w:val="center"/>
            </w:pPr>
            <w:r>
              <w:rPr>
                <w:rFonts w:ascii="Arial" w:cs="Arial" w:eastAsia="Arial" w:hAnsi="Arial"/>
                <w:b/>
                <w:bCs/>
                <w:color w:val="C5973A"/>
                <w:sz w:val="22"/>
                <w:szCs w:val="22"/>
              </w:rPr>
              <w:t xml:space="preserve">Donor-Aligned</w:t>
            </w:r>
          </w:p>
          <w:p>
            <w:pPr>
              <w:jc w:val="center"/>
            </w:pPr>
            <w:r>
              <w:rPr>
                <w:rFonts w:ascii="Arial" w:cs="Arial" w:eastAsia="Arial" w:hAnsi="Arial"/>
                <w:color w:val="FFFFFF"/>
                <w:sz w:val="19"/>
                <w:szCs w:val="19"/>
              </w:rPr>
              <w:t xml:space="preserve">EU, UN, Foundations &amp; INGOs</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100"/>
              <w:right w:type="dxa" w:w="120"/>
            </w:tcMar>
          </w:tcPr>
          <w:p>
            <w:pPr>
              <w:jc w:val="center"/>
            </w:pPr>
            <w:r>
              <w:rPr>
                <w:rFonts w:ascii="Arial" w:cs="Arial" w:eastAsia="Arial" w:hAnsi="Arial"/>
                <w:b/>
                <w:bCs/>
                <w:color w:val="C5973A"/>
                <w:sz w:val="22"/>
                <w:szCs w:val="22"/>
              </w:rPr>
              <w:t xml:space="preserve">Ministry-Ready Outputs</w:t>
            </w:r>
          </w:p>
          <w:p>
            <w:pPr>
              <w:jc w:val="center"/>
            </w:pPr>
            <w:r>
              <w:rPr>
                <w:rFonts w:ascii="Arial" w:cs="Arial" w:eastAsia="Arial" w:hAnsi="Arial"/>
                <w:color w:val="FFFFFF"/>
                <w:sz w:val="19"/>
                <w:szCs w:val="19"/>
              </w:rPr>
              <w:t xml:space="preserve">Templates, tools &amp; action plans</w:t>
            </w:r>
          </w:p>
        </w:tc>
      </w:tr>
    </w:tbl>
    <w:p>
      <w:pPr>
        <w:spacing w:after="2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r>
              <w:rPr>
                <w:rFonts w:ascii="Arial" w:cs="Arial" w:eastAsia="Arial" w:hAnsi="Arial"/>
                <w:b/>
                <w:bCs/>
                <w:color w:val="6B0F1A"/>
                <w:sz w:val="21"/>
                <w:szCs w:val="21"/>
              </w:rPr>
              <w:t xml:space="preserve">Priority Topics</w:t>
            </w:r>
          </w:p>
          <w:p>
            <w:pPr>
              <w:spacing w:after="40" w:before="0"/>
            </w:pPr>
            <w:r>
              <w:t xml:space="preserve"/>
            </w:r>
          </w:p>
          <w:p>
            <w:r>
              <w:rPr>
                <w:rFonts w:ascii="Arial" w:cs="Arial" w:eastAsia="Arial" w:hAnsi="Arial"/>
                <w:color w:val="1A1A1A"/>
                <w:sz w:val="20"/>
                <w:szCs w:val="20"/>
              </w:rPr>
              <w:t xml:space="preserve">Donor landscape; proposal structure; Theory of Change; logframes; budgeting; concept notes</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r>
              <w:rPr>
                <w:rFonts w:ascii="Arial" w:cs="Arial" w:eastAsia="Arial" w:hAnsi="Arial"/>
                <w:b/>
                <w:bCs/>
                <w:color w:val="6B0F1A"/>
                <w:sz w:val="21"/>
                <w:szCs w:val="21"/>
              </w:rPr>
              <w:t xml:space="preserve">Expected Outputs</w:t>
            </w:r>
          </w:p>
          <w:p>
            <w:pPr>
              <w:spacing w:after="40" w:before="0"/>
            </w:pPr>
            <w:r>
              <w:t xml:space="preserve"/>
            </w:r>
          </w:p>
          <w:p>
            <w:r>
              <w:rPr>
                <w:rFonts w:ascii="Arial" w:cs="Arial" w:eastAsia="Arial" w:hAnsi="Arial"/>
                <w:color w:val="1A1A1A"/>
                <w:sz w:val="20"/>
                <w:szCs w:val="20"/>
              </w:rPr>
              <w:t xml:space="preserve">Concept note draft; proposal template; ToC diagram; donor mapping tool; training report</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r>
              <w:rPr>
                <w:rFonts w:ascii="Arial" w:cs="Arial" w:eastAsia="Arial" w:hAnsi="Arial"/>
                <w:b/>
                <w:bCs/>
                <w:color w:val="6B0F1A"/>
                <w:sz w:val="21"/>
                <w:szCs w:val="21"/>
              </w:rPr>
              <w:t xml:space="preserve">Delivery Philosophy</w:t>
            </w:r>
          </w:p>
          <w:p>
            <w:pPr>
              <w:spacing w:after="40" w:before="0"/>
            </w:pPr>
            <w:r>
              <w:t xml:space="preserve"/>
            </w:r>
          </w:p>
          <w:p>
            <w:r>
              <w:rPr>
                <w:rFonts w:ascii="Arial" w:cs="Arial" w:eastAsia="Arial" w:hAnsi="Arial"/>
                <w:color w:val="1A1A1A"/>
                <w:sz w:val="20"/>
                <w:szCs w:val="20"/>
              </w:rPr>
              <w:t xml:space="preserve">Participatory, case-based and output-oriented — every concept linked to a usable product</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r>
              <w:rPr>
                <w:rFonts w:ascii="Arial" w:cs="Arial" w:eastAsia="Arial" w:hAnsi="Arial"/>
                <w:b/>
                <w:bCs/>
                <w:color w:val="6B0F1A"/>
                <w:sz w:val="21"/>
                <w:szCs w:val="21"/>
              </w:rPr>
              <w:t xml:space="preserve">Why It Matters</w:t>
            </w:r>
          </w:p>
          <w:p>
            <w:pPr>
              <w:spacing w:after="40" w:before="0"/>
            </w:pPr>
            <w:r>
              <w:t xml:space="preserve"/>
            </w:r>
          </w:p>
          <w:p>
            <w:r>
              <w:rPr>
                <w:rFonts w:ascii="Arial" w:cs="Arial" w:eastAsia="Arial" w:hAnsi="Arial"/>
                <w:color w:val="1A1A1A"/>
                <w:sz w:val="20"/>
                <w:szCs w:val="20"/>
              </w:rPr>
              <w:t xml:space="preserve">Stronger fundraising capacity ensures AFSC and partners can sustain and scale peace and justice programming</w:t>
            </w:r>
          </w:p>
        </w:tc>
      </w:tr>
    </w:tbl>
    <w:p>
      <w:r>
        <w:br w:type="page"/>
      </w:r>
    </w:p>
    <w:p>
      <w:pPr>
        <w:pStyle w:val="Heading1"/>
        <w:spacing w:after="100" w:before="320"/>
      </w:pPr>
      <w:r>
        <w:rPr>
          <w:rFonts w:ascii="Arial" w:cs="Arial" w:eastAsia="Arial" w:hAnsi="Arial"/>
          <w:b/>
          <w:bCs/>
          <w:color w:val="6B0F1A"/>
          <w:sz w:val="30"/>
          <w:szCs w:val="30"/>
        </w:rPr>
        <w:t xml:space="preserve">2. Understanding of the Assignment</w:t>
      </w:r>
    </w:p>
    <w:p>
      <w:pPr>
        <w:pBdr>
          <w:bottom w:val="single" w:color="C5973A" w:sz="6" w:space="1"/>
        </w:pBdr>
        <w:spacing w:after="120" w:before="0"/>
      </w:pPr>
    </w:p>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AFSC requires a training engagement that goes beyond theory. The need is for a practical, interactive programme that equips both internal staff and local partner organizations in Somalia and South Sudan to develop high-quality, competitive proposals aligned with donor priorities in the areas of Just Peace and Just Migration. Participants come with varying levels of experience, and the training must be adaptive and contextually grounded.</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What AFSC is trying to solve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Variable fundraising capacity across internal teams and local partner organizations; limited skills in donor mapping, proposal structure, Theory of Change application, budgeting and concept note writing, which constrains AFSC's ability to scale peacebuilding and social cohesion programming.</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What the training must achieve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Equip participants to identify funding opportunities, structure compelling proposals and concept notes, apply Theory of Change thinking, align with donor requirements and develop credible budgets — producing usable tools and drafts during the training itself.</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Who should benefit</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AFSC Somalia and South Sudan programme staff, local partner organizations including community- and faith-based organizations (C/FBOs), and technical officers responsible for resource mobilization and programme development.</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What success looks like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Participants can independently draft a concept note or full proposal section, map relevant donors, articulate a Theory of Change, build a logical framework and apply what they have learned to live funding opportunities within AFSC's thematic areas.</w:t>
            </w:r>
          </w:p>
        </w:tc>
      </w:tr>
    </w:tbl>
    <w:p>
      <w:pPr>
        <w:spacing w:after="16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programme must therefore balance conceptual rigor with immediate practical application. Three realities shape the design:</w:t>
      </w:r>
    </w:p>
    <w:p>
      <w:pPr>
        <w:spacing w:after="80" w:before="0"/>
      </w:pPr>
      <w:r>
        <w:t xml:space="preserve"/>
      </w:r>
    </w:p>
    <w:p>
      <w:pPr>
        <w:pStyle w:val="ListParagraph"/>
        <w:numPr>
          <w:ilvl w:val="0"/>
          <w:numId w:val="2"/>
        </w:numPr>
        <w:spacing w:after="60" w:before="40"/>
      </w:pPr>
      <w:r>
        <w:rPr>
          <w:rFonts w:ascii="Arial" w:cs="Arial" w:eastAsia="Arial" w:hAnsi="Arial"/>
          <w:color w:val="1A1A1A"/>
          <w:sz w:val="22"/>
          <w:szCs w:val="22"/>
        </w:rPr>
        <w:t xml:space="preserve">AFSC's work in Somalia and South Sudan sits at the intersection of peacebuilding, trauma healing, social cohesion and youth empowerment — funding proposals must reflect this complexity in ways donors find compelling.</w:t>
      </w:r>
    </w:p>
    <w:p>
      <w:pPr>
        <w:pStyle w:val="ListParagraph"/>
        <w:numPr>
          <w:ilvl w:val="0"/>
          <w:numId w:val="2"/>
        </w:numPr>
        <w:spacing w:after="60" w:before="40"/>
      </w:pPr>
      <w:r>
        <w:rPr>
          <w:rFonts w:ascii="Arial" w:cs="Arial" w:eastAsia="Arial" w:hAnsi="Arial"/>
          <w:color w:val="1A1A1A"/>
          <w:sz w:val="22"/>
          <w:szCs w:val="22"/>
        </w:rPr>
        <w:t xml:space="preserve">Partner organizations range from grassroots C/FBOs to more institutionally developed NGOs, requiring the training to be adaptable across levels of experience without losing depth.</w:t>
      </w:r>
    </w:p>
    <w:p>
      <w:pPr>
        <w:pStyle w:val="ListParagraph"/>
        <w:numPr>
          <w:ilvl w:val="0"/>
          <w:numId w:val="2"/>
        </w:numPr>
        <w:spacing w:after="60" w:before="40"/>
      </w:pPr>
      <w:r>
        <w:rPr>
          <w:rFonts w:ascii="Arial" w:cs="Arial" w:eastAsia="Arial" w:hAnsi="Arial"/>
          <w:color w:val="1A1A1A"/>
          <w:sz w:val="22"/>
          <w:szCs w:val="22"/>
        </w:rPr>
        <w:t xml:space="preserve">Participants need ready-to-use tools: templates, frameworks and reference materials they can apply immediately after the training — not generic content disconnected from their programming reality.</w:t>
      </w:r>
    </w:p>
    <w:p>
      <w:r>
        <w:br w:type="page"/>
      </w:r>
    </w:p>
    <w:p>
      <w:pPr>
        <w:pStyle w:val="Heading1"/>
        <w:spacing w:after="100" w:before="320"/>
      </w:pPr>
      <w:r>
        <w:rPr>
          <w:rFonts w:ascii="Arial" w:cs="Arial" w:eastAsia="Arial" w:hAnsi="Arial"/>
          <w:b/>
          <w:bCs/>
          <w:color w:val="6B0F1A"/>
          <w:sz w:val="30"/>
          <w:szCs w:val="30"/>
        </w:rPr>
        <w:t xml:space="preserve">3. Why Fundraising Capacity Matters for AFSC's Mission</w:t>
      </w:r>
    </w:p>
    <w:p>
      <w:pPr>
        <w:pBdr>
          <w:bottom w:val="single" w:color="C5973A" w:sz="6" w:space="1"/>
        </w:pBdr>
        <w:spacing w:after="120" w:before="0"/>
      </w:pPr>
    </w:p>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Peacebuilding, healing and social cohesion work depends on sustainable funding. In conflict-affected settings like South Sudan and Somalia, the ability to write strong, competitive proposals directly determines whether communities receive the support they need — and whether local partners can grow into credible, independent actors in the humanitarian and development landscape.</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Sustained programming</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Strong proposal skills enable AFSC and partners to secure multi-year, flexible funding that sustains long-term peacebuilding efforts rather than short project cycles.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Partner independence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When local C/FBOs and NGO partners can write competitive proposals, they reduce dependence on sub-granting and build their own donor relationships and institutional credibility.</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Donor alignment</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Understanding donor priorities — from the EU and UN to Foundations and bilateral funders — allows teams to position AFSC's work more strategically and increase success rates.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Programme quality</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Theory of Change thinking and logical frameworks improve not just proposals but actual programme design, making interventions more coherent, measurable and results-oriented.</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Competitive advantage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Well-written proposals with strong evidence, clear results logic and credible budgets stand out in crowded funding environments where dozens of organizations compete for the same grants.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Institutional resilience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Organizations with strong internal fundraising capacity are better positioned to absorb funding shocks, diversify their donor base and sustain operations through volatile environments.</w:t>
            </w:r>
          </w:p>
        </w:tc>
      </w:tr>
    </w:tbl>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4A843" w:sz="1"/>
              <w:left w:val="single" w:color="D4A843" w:sz="1"/>
              <w:bottom w:val="single" w:color="D4A843" w:sz="1"/>
              <w:right w:val="single" w:color="D4A843" w:sz="1"/>
            </w:tcBorders>
            <w:shd w:fill="F9F3E8" w:val="clear"/>
            <w:tcMar>
              <w:top w:type="dxa" w:w="140"/>
              <w:left w:type="dxa" w:w="200"/>
              <w:bottom w:type="dxa" w:w="140"/>
              <w:right w:type="dxa" w:w="200"/>
            </w:tcMar>
          </w:tcPr>
          <w:p>
            <w:pPr>
              <w:jc w:val="both"/>
            </w:pPr>
            <w:r>
              <w:rPr>
                <w:rFonts w:ascii="Arial" w:cs="Arial" w:eastAsia="Arial" w:hAnsi="Arial"/>
                <w:b w:val="false"/>
                <w:bCs w:val="false"/>
                <w:i/>
                <w:iCs/>
                <w:color w:val="6B0F1A"/>
                <w:sz w:val="22"/>
                <w:szCs w:val="22"/>
              </w:rPr>
              <w:t xml:space="preserve">A stronger fundraising capacity does not just bring in more money — it transforms local organizations from service recipients into strategic actors who shape their own programming, attract their own donors and lead their own development agendas.</w:t>
            </w:r>
          </w:p>
        </w:tc>
      </w:tr>
    </w:tbl>
    <w:p>
      <w:r>
        <w:br w:type="page"/>
      </w:r>
    </w:p>
    <w:p>
      <w:pPr>
        <w:pStyle w:val="Heading1"/>
        <w:spacing w:after="100" w:before="320"/>
      </w:pPr>
      <w:r>
        <w:rPr>
          <w:rFonts w:ascii="Arial" w:cs="Arial" w:eastAsia="Arial" w:hAnsi="Arial"/>
          <w:b/>
          <w:bCs/>
          <w:color w:val="6B0F1A"/>
          <w:sz w:val="30"/>
          <w:szCs w:val="30"/>
        </w:rPr>
        <w:t xml:space="preserve">4. Proposed Solution at a Glance</w:t>
      </w:r>
    </w:p>
    <w:p>
      <w:pPr>
        <w:pBdr>
          <w:bottom w:val="single" w:color="C5973A" w:sz="6" w:space="1"/>
        </w:pBdr>
        <w:spacing w:after="120" w:before="0"/>
      </w:pP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Programme Focus</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Practical fundraising and proposal writing training contextualized for AFSC's peacebuilding, healing and social cohesion programming in Somalia and South Sudan.</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Duration</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Four days of intensive virtual training with strong emphasis on application, drafting exercises and peer review.</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Primary Audience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AFSC Somalia and South Sudan programme staff and local partner organizations including C/FBOs and NGO partners with varying experience levels.</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Methodology</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Participatory, case-based, tool-building and output-oriented — contextualized for humanitarian and peacebuilding programming realities.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Key Outputs</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Concept note drafts, proposal template, Theory of Change diagram, donor mapping tool, logical framework and a post-training toolkit.</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Delivery Mode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Fully virtual and interactive — using breakout groups, live drafting sessions, peer review, case studies and facilitated plenary discussions.</w:t>
            </w:r>
          </w:p>
        </w:tc>
      </w:tr>
    </w:tbl>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Practical</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Contextual</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Adaptive</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Sustainable</w:t>
            </w:r>
          </w:p>
        </w:tc>
      </w:tr>
      <w:tr>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Every topic links to a draft, tool or template participants build during the session</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Built around peacebuilding, Just Peace and Just Migration programming realities</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Designed to work across different experience levels in the same room</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Participants leave with a reference toolkit they can keep using after the training</w:t>
            </w:r>
          </w:p>
        </w:tc>
      </w:tr>
    </w:tbl>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4A843" w:sz="1"/>
              <w:left w:val="single" w:color="D4A843" w:sz="1"/>
              <w:bottom w:val="single" w:color="D4A843" w:sz="1"/>
              <w:right w:val="single" w:color="D4A843" w:sz="1"/>
            </w:tcBorders>
            <w:shd w:fill="F5E6C8" w:val="clear"/>
            <w:tcMar>
              <w:top w:type="dxa" w:w="140"/>
              <w:left w:type="dxa" w:w="200"/>
              <w:bottom w:type="dxa" w:w="140"/>
              <w:right w:type="dxa" w:w="200"/>
            </w:tcMar>
          </w:tcPr>
          <w:p>
            <w:pPr>
              <w:jc w:val="both"/>
            </w:pPr>
            <w:r>
              <w:rPr>
                <w:rFonts w:ascii="Arial" w:cs="Arial" w:eastAsia="Arial" w:hAnsi="Arial"/>
                <w:b w:val="false"/>
                <w:bCs w:val="false"/>
                <w:i/>
                <w:iCs/>
                <w:color w:val="6B0F1A"/>
                <w:sz w:val="22"/>
                <w:szCs w:val="22"/>
              </w:rPr>
              <w:t xml:space="preserve">The solution is designed so that from the very first session, participants are not just listening — they are drafting, reviewing, refining and producing outputs that reflect their own organizational context and programming realities.</w:t>
            </w:r>
          </w:p>
        </w:tc>
      </w:tr>
    </w:tbl>
    <w:p>
      <w:r>
        <w:br w:type="page"/>
      </w:r>
    </w:p>
    <w:p>
      <w:pPr>
        <w:pStyle w:val="Heading1"/>
        <w:spacing w:after="100" w:before="320"/>
      </w:pPr>
      <w:r>
        <w:rPr>
          <w:rFonts w:ascii="Arial" w:cs="Arial" w:eastAsia="Arial" w:hAnsi="Arial"/>
          <w:b/>
          <w:bCs/>
          <w:color w:val="6B0F1A"/>
          <w:sz w:val="30"/>
          <w:szCs w:val="30"/>
        </w:rPr>
        <w:t xml:space="preserve">5. Four-Day Training Schedule</w:t>
      </w:r>
    </w:p>
    <w:p>
      <w:pPr>
        <w:pBdr>
          <w:bottom w:val="single" w:color="C5973A" w:sz="6" w:space="1"/>
        </w:pBdr>
        <w:spacing w:after="120" w:before="0"/>
      </w:pPr>
    </w:p>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four days are deliberately sequenced from understanding to application: participants first build conceptual clarity, then move into hands-on drafting, peer review and integration. Each day ends with a concrete output that feeds into the next session.</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00"/>
      </w:tblGrid>
      <w:tr>
        <w:tc>
          <w:tcPr>
            <w:tcW w:type="dxa" w:w="900"/>
            <w:tcBorders>
              <w:top w:val="single" w:color="D4A843" w:sz="1"/>
              <w:left w:val="single" w:color="D4A843" w:sz="1"/>
              <w:bottom w:val="single" w:color="D4A843" w:sz="1"/>
              <w:right w:val="single" w:color="D4A843" w:sz="1"/>
            </w:tcBorders>
            <w:shd w:fill="6B0F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w:t>
            </w:r>
          </w:p>
        </w:tc>
        <w:tc>
          <w:tcPr>
            <w:tcW w:type="dxa" w:w="3200"/>
            <w:tcBorders>
              <w:top w:val="single" w:color="D4A843" w:sz="1"/>
              <w:left w:val="single" w:color="D4A843" w:sz="1"/>
              <w:bottom w:val="single" w:color="D4A843" w:sz="1"/>
              <w:right w:val="single" w:color="D4A843" w:sz="1"/>
            </w:tcBorders>
            <w:shd w:fill="6B0F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Theme</w:t>
            </w:r>
          </w:p>
        </w:tc>
        <w:tc>
          <w:tcPr>
            <w:tcW w:type="dxa" w:w="4900"/>
            <w:tcBorders>
              <w:top w:val="single" w:color="D4A843" w:sz="1"/>
              <w:left w:val="single" w:color="D4A843" w:sz="1"/>
              <w:bottom w:val="single" w:color="D4A843" w:sz="1"/>
              <w:right w:val="single" w:color="D4A843" w:sz="1"/>
            </w:tcBorders>
            <w:shd w:fill="6B0F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Practical Output</w:t>
            </w:r>
          </w:p>
        </w:tc>
      </w:tr>
      <w:tr>
        <w:tc>
          <w:tcPr>
            <w:tcW w:type="dxa" w:w="900"/>
            <w:tcBorders>
              <w:top w:val="single" w:color="D4A843" w:sz="1"/>
              <w:left w:val="single" w:color="D4A843" w:sz="1"/>
              <w:bottom w:val="single" w:color="D4A843" w:sz="1"/>
              <w:right w:val="single" w:color="D4A843" w:sz="1"/>
            </w:tcBorders>
            <w:shd w:fill="F5E6C8" w:val="clear"/>
            <w:tcMar>
              <w:top w:type="dxa" w:w="100"/>
              <w:left w:type="dxa" w:w="120"/>
              <w:bottom w:type="dxa" w:w="100"/>
              <w:right w:type="dxa" w:w="120"/>
            </w:tcMar>
            <w:vAlign w:val="center"/>
          </w:tcPr>
          <w:p>
            <w:pPr>
              <w:jc w:val="center"/>
            </w:pPr>
            <w:r>
              <w:rPr>
                <w:rFonts w:ascii="Arial" w:cs="Arial" w:eastAsia="Arial" w:hAnsi="Arial"/>
                <w:b/>
                <w:bCs/>
                <w:color w:val="6B0F1A"/>
                <w:sz w:val="22"/>
                <w:szCs w:val="22"/>
              </w:rPr>
              <w:t xml:space="preserve">Day 1</w:t>
            </w:r>
          </w:p>
        </w:tc>
        <w:tc>
          <w:tcPr>
            <w:tcW w:type="dxa" w:w="3200"/>
            <w:tcBorders>
              <w:top w:val="single" w:color="D4A843" w:sz="1"/>
              <w:left w:val="single" w:color="D4A843" w:sz="1"/>
              <w:bottom w:val="single" w:color="D4A843" w:sz="1"/>
              <w:right w:val="single" w:color="D4A843" w:sz="1"/>
            </w:tcBorders>
            <w:shd w:fill="F5E6C8" w:val="clear"/>
            <w:tcMar>
              <w:top w:type="dxa" w:w="100"/>
              <w:left w:type="dxa" w:w="120"/>
              <w:bottom w:type="dxa" w:w="100"/>
              <w:right w:type="dxa" w:w="120"/>
            </w:tcMar>
          </w:tcPr>
          <w:p>
            <w:r>
              <w:rPr>
                <w:rFonts w:ascii="Arial" w:cs="Arial" w:eastAsia="Arial" w:hAnsi="Arial"/>
                <w:b/>
                <w:bCs/>
                <w:color w:val="1A1A1A"/>
                <w:sz w:val="21"/>
                <w:szCs w:val="21"/>
              </w:rPr>
              <w:t xml:space="preserve">Fundraising Foundations and the Donor Landscape</w:t>
            </w:r>
          </w:p>
        </w:tc>
        <w:tc>
          <w:tcPr>
            <w:tcW w:type="dxa" w:w="490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r>
              <w:rPr>
                <w:rFonts w:ascii="Arial" w:cs="Arial" w:eastAsia="Arial" w:hAnsi="Arial"/>
                <w:color w:val="1A1A1A"/>
                <w:sz w:val="21"/>
                <w:szCs w:val="21"/>
              </w:rPr>
              <w:t xml:space="preserve">Donor mapping worksheet; identification of 3–5 priority funding opportunities relevant to AFSC's programming areas</w:t>
            </w:r>
          </w:p>
        </w:tc>
      </w:tr>
      <w:tr>
        <w:tc>
          <w:tcPr>
            <w:tcW w:type="dxa" w:w="900"/>
            <w:tcBorders>
              <w:top w:val="single" w:color="D4A843" w:sz="1"/>
              <w:left w:val="single" w:color="D4A843" w:sz="1"/>
              <w:bottom w:val="single" w:color="D4A843" w:sz="1"/>
              <w:right w:val="single" w:color="D4A843"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6B0F1A"/>
                <w:sz w:val="22"/>
                <w:szCs w:val="22"/>
              </w:rPr>
              <w:t xml:space="preserve">Day 2</w:t>
            </w:r>
          </w:p>
        </w:tc>
        <w:tc>
          <w:tcPr>
            <w:tcW w:type="dxa" w:w="3200"/>
            <w:tcBorders>
              <w:top w:val="single" w:color="D4A843" w:sz="1"/>
              <w:left w:val="single" w:color="D4A843" w:sz="1"/>
              <w:bottom w:val="single" w:color="D4A843" w:sz="1"/>
              <w:right w:val="single" w:color="D4A843" w:sz="1"/>
            </w:tcBorders>
            <w:shd w:fill="FFFFFF" w:val="clear"/>
            <w:tcMar>
              <w:top w:type="dxa" w:w="100"/>
              <w:left w:type="dxa" w:w="120"/>
              <w:bottom w:type="dxa" w:w="100"/>
              <w:right w:type="dxa" w:w="120"/>
            </w:tcMar>
          </w:tcPr>
          <w:p>
            <w:r>
              <w:rPr>
                <w:rFonts w:ascii="Arial" w:cs="Arial" w:eastAsia="Arial" w:hAnsi="Arial"/>
                <w:b/>
                <w:bCs/>
                <w:color w:val="1A1A1A"/>
                <w:sz w:val="21"/>
                <w:szCs w:val="21"/>
              </w:rPr>
              <w:t xml:space="preserve">Proposal Architecture and Theory of Change</w:t>
            </w:r>
          </w:p>
        </w:tc>
        <w:tc>
          <w:tcPr>
            <w:tcW w:type="dxa" w:w="4900"/>
            <w:tcBorders>
              <w:top w:val="single" w:color="D4A843" w:sz="1"/>
              <w:left w:val="single" w:color="D4A843" w:sz="1"/>
              <w:bottom w:val="single" w:color="D4A843" w:sz="1"/>
              <w:right w:val="single" w:color="D4A843" w:sz="1"/>
            </w:tcBorders>
            <w:shd w:fill="FFFFFF" w:val="clear"/>
            <w:tcMar>
              <w:top w:type="dxa" w:w="100"/>
              <w:left w:type="dxa" w:w="120"/>
              <w:bottom w:type="dxa" w:w="100"/>
              <w:right w:type="dxa" w:w="120"/>
            </w:tcMar>
          </w:tcPr>
          <w:p>
            <w:r>
              <w:rPr>
                <w:rFonts w:ascii="Arial" w:cs="Arial" w:eastAsia="Arial" w:hAnsi="Arial"/>
                <w:color w:val="1A1A1A"/>
                <w:sz w:val="21"/>
                <w:szCs w:val="21"/>
              </w:rPr>
              <w:t xml:space="preserve">Draft Theory of Change diagram; completed logical framework (logframe) for a selected programme area</w:t>
            </w:r>
          </w:p>
        </w:tc>
      </w:tr>
      <w:tr>
        <w:tc>
          <w:tcPr>
            <w:tcW w:type="dxa" w:w="900"/>
            <w:tcBorders>
              <w:top w:val="single" w:color="D4A843" w:sz="1"/>
              <w:left w:val="single" w:color="D4A843" w:sz="1"/>
              <w:bottom w:val="single" w:color="D4A843" w:sz="1"/>
              <w:right w:val="single" w:color="D4A843" w:sz="1"/>
            </w:tcBorders>
            <w:shd w:fill="F5E6C8" w:val="clear"/>
            <w:tcMar>
              <w:top w:type="dxa" w:w="100"/>
              <w:left w:type="dxa" w:w="120"/>
              <w:bottom w:type="dxa" w:w="100"/>
              <w:right w:type="dxa" w:w="120"/>
            </w:tcMar>
            <w:vAlign w:val="center"/>
          </w:tcPr>
          <w:p>
            <w:pPr>
              <w:jc w:val="center"/>
            </w:pPr>
            <w:r>
              <w:rPr>
                <w:rFonts w:ascii="Arial" w:cs="Arial" w:eastAsia="Arial" w:hAnsi="Arial"/>
                <w:b/>
                <w:bCs/>
                <w:color w:val="6B0F1A"/>
                <w:sz w:val="22"/>
                <w:szCs w:val="22"/>
              </w:rPr>
              <w:t xml:space="preserve">Day 3</w:t>
            </w:r>
          </w:p>
        </w:tc>
        <w:tc>
          <w:tcPr>
            <w:tcW w:type="dxa" w:w="3200"/>
            <w:tcBorders>
              <w:top w:val="single" w:color="D4A843" w:sz="1"/>
              <w:left w:val="single" w:color="D4A843" w:sz="1"/>
              <w:bottom w:val="single" w:color="D4A843" w:sz="1"/>
              <w:right w:val="single" w:color="D4A843" w:sz="1"/>
            </w:tcBorders>
            <w:shd w:fill="F5E6C8" w:val="clear"/>
            <w:tcMar>
              <w:top w:type="dxa" w:w="100"/>
              <w:left w:type="dxa" w:w="120"/>
              <w:bottom w:type="dxa" w:w="100"/>
              <w:right w:type="dxa" w:w="120"/>
            </w:tcMar>
          </w:tcPr>
          <w:p>
            <w:r>
              <w:rPr>
                <w:rFonts w:ascii="Arial" w:cs="Arial" w:eastAsia="Arial" w:hAnsi="Arial"/>
                <w:b/>
                <w:bCs/>
                <w:color w:val="1A1A1A"/>
                <w:sz w:val="21"/>
                <w:szCs w:val="21"/>
              </w:rPr>
              <w:t xml:space="preserve">Writing Concept Notes and Full Proposals</w:t>
            </w:r>
          </w:p>
        </w:tc>
        <w:tc>
          <w:tcPr>
            <w:tcW w:type="dxa" w:w="490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r>
              <w:rPr>
                <w:rFonts w:ascii="Arial" w:cs="Arial" w:eastAsia="Arial" w:hAnsi="Arial"/>
                <w:color w:val="1A1A1A"/>
                <w:sz w:val="21"/>
                <w:szCs w:val="21"/>
              </w:rPr>
              <w:t xml:space="preserve">Draft concept note (problem statement, objectives, methodology, results, budget narrative) ready for peer review</w:t>
            </w:r>
          </w:p>
        </w:tc>
      </w:tr>
      <w:tr>
        <w:tc>
          <w:tcPr>
            <w:tcW w:type="dxa" w:w="900"/>
            <w:tcBorders>
              <w:top w:val="single" w:color="D4A843" w:sz="1"/>
              <w:left w:val="single" w:color="D4A843" w:sz="1"/>
              <w:bottom w:val="single" w:color="D4A843" w:sz="1"/>
              <w:right w:val="single" w:color="D4A843"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6B0F1A"/>
                <w:sz w:val="22"/>
                <w:szCs w:val="22"/>
              </w:rPr>
              <w:t xml:space="preserve">Day 4</w:t>
            </w:r>
          </w:p>
        </w:tc>
        <w:tc>
          <w:tcPr>
            <w:tcW w:type="dxa" w:w="3200"/>
            <w:tcBorders>
              <w:top w:val="single" w:color="D4A843" w:sz="1"/>
              <w:left w:val="single" w:color="D4A843" w:sz="1"/>
              <w:bottom w:val="single" w:color="D4A843" w:sz="1"/>
              <w:right w:val="single" w:color="D4A843" w:sz="1"/>
            </w:tcBorders>
            <w:shd w:fill="FFFFFF" w:val="clear"/>
            <w:tcMar>
              <w:top w:type="dxa" w:w="100"/>
              <w:left w:type="dxa" w:w="120"/>
              <w:bottom w:type="dxa" w:w="100"/>
              <w:right w:type="dxa" w:w="120"/>
            </w:tcMar>
          </w:tcPr>
          <w:p>
            <w:r>
              <w:rPr>
                <w:rFonts w:ascii="Arial" w:cs="Arial" w:eastAsia="Arial" w:hAnsi="Arial"/>
                <w:b/>
                <w:bCs/>
                <w:color w:val="1A1A1A"/>
                <w:sz w:val="21"/>
                <w:szCs w:val="21"/>
              </w:rPr>
              <w:t xml:space="preserve">Peer Review, Budgeting and Action Planning</w:t>
            </w:r>
          </w:p>
        </w:tc>
        <w:tc>
          <w:tcPr>
            <w:tcW w:type="dxa" w:w="4900"/>
            <w:tcBorders>
              <w:top w:val="single" w:color="D4A843" w:sz="1"/>
              <w:left w:val="single" w:color="D4A843" w:sz="1"/>
              <w:bottom w:val="single" w:color="D4A843" w:sz="1"/>
              <w:right w:val="single" w:color="D4A843" w:sz="1"/>
            </w:tcBorders>
            <w:shd w:fill="FFFFFF" w:val="clear"/>
            <w:tcMar>
              <w:top w:type="dxa" w:w="100"/>
              <w:left w:type="dxa" w:w="120"/>
              <w:bottom w:type="dxa" w:w="100"/>
              <w:right w:type="dxa" w:w="120"/>
            </w:tcMar>
          </w:tcPr>
          <w:p>
            <w:r>
              <w:rPr>
                <w:rFonts w:ascii="Arial" w:cs="Arial" w:eastAsia="Arial" w:hAnsi="Arial"/>
                <w:color w:val="1A1A1A"/>
                <w:sz w:val="21"/>
                <w:szCs w:val="21"/>
              </w:rPr>
              <w:t xml:space="preserve">Revised concept note or proposal section; personal fundraising action plan; full post-training toolkit</w:t>
            </w:r>
          </w:p>
        </w:tc>
      </w:tr>
    </w:tbl>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20"/>
              <w:left w:type="dxa" w:w="160"/>
              <w:bottom w:type="dxa" w:w="120"/>
              <w:right w:type="dxa" w:w="160"/>
            </w:tcMar>
          </w:tcPr>
          <w:p>
            <w:r>
              <w:rPr>
                <w:rFonts w:ascii="Arial" w:cs="Arial" w:eastAsia="Arial" w:hAnsi="Arial"/>
                <w:b/>
                <w:bCs/>
                <w:color w:val="6B0F1A"/>
                <w:sz w:val="22"/>
                <w:szCs w:val="22"/>
              </w:rPr>
              <w:t xml:space="preserve">Days 1–2 Emphasis</w:t>
            </w:r>
          </w:p>
          <w:p>
            <w:pPr>
              <w:spacing w:after="60" w:before="0"/>
            </w:pPr>
            <w:r>
              <w:t xml:space="preserve"/>
            </w:r>
          </w:p>
          <w:p>
            <w:pPr>
              <w:pStyle w:val="ListParagraph"/>
              <w:numPr>
                <w:ilvl w:val="0"/>
                <w:numId w:val="2"/>
              </w:numPr>
              <w:spacing w:after="60" w:before="40"/>
            </w:pPr>
            <w:r>
              <w:rPr>
                <w:rFonts w:ascii="Arial" w:cs="Arial" w:eastAsia="Arial" w:hAnsi="Arial"/>
                <w:color w:val="1A1A1A"/>
                <w:sz w:val="22"/>
                <w:szCs w:val="22"/>
              </w:rPr>
              <w:t xml:space="preserve">Fundraising foundations and donor intelligence</w:t>
            </w:r>
          </w:p>
          <w:p>
            <w:pPr>
              <w:pStyle w:val="ListParagraph"/>
              <w:numPr>
                <w:ilvl w:val="0"/>
                <w:numId w:val="2"/>
              </w:numPr>
              <w:spacing w:after="60" w:before="40"/>
            </w:pPr>
            <w:r>
              <w:rPr>
                <w:rFonts w:ascii="Arial" w:cs="Arial" w:eastAsia="Arial" w:hAnsi="Arial"/>
                <w:color w:val="1A1A1A"/>
                <w:sz w:val="22"/>
                <w:szCs w:val="22"/>
              </w:rPr>
              <w:t xml:space="preserve">Understanding donor priorities (EU, UN, Foundations, bilaterals)</w:t>
            </w:r>
          </w:p>
          <w:p>
            <w:pPr>
              <w:pStyle w:val="ListParagraph"/>
              <w:numPr>
                <w:ilvl w:val="0"/>
                <w:numId w:val="2"/>
              </w:numPr>
              <w:spacing w:after="60" w:before="40"/>
            </w:pPr>
            <w:r>
              <w:rPr>
                <w:rFonts w:ascii="Arial" w:cs="Arial" w:eastAsia="Arial" w:hAnsi="Arial"/>
                <w:color w:val="1A1A1A"/>
                <w:sz w:val="22"/>
                <w:szCs w:val="22"/>
              </w:rPr>
              <w:t xml:space="preserve">Proposal structure and results logic</w:t>
            </w:r>
          </w:p>
          <w:p>
            <w:pPr>
              <w:pStyle w:val="ListParagraph"/>
              <w:numPr>
                <w:ilvl w:val="0"/>
                <w:numId w:val="2"/>
              </w:numPr>
              <w:spacing w:after="60" w:before="40"/>
            </w:pPr>
            <w:r>
              <w:rPr>
                <w:rFonts w:ascii="Arial" w:cs="Arial" w:eastAsia="Arial" w:hAnsi="Arial"/>
                <w:color w:val="1A1A1A"/>
                <w:sz w:val="22"/>
                <w:szCs w:val="22"/>
              </w:rPr>
              <w:t xml:space="preserve">Theory of Change and logical frameworks</w:t>
            </w:r>
          </w:p>
        </w:tc>
        <w:tc>
          <w:tcPr>
            <w:tcW w:type="dxa" w:w="4500"/>
            <w:tcBorders>
              <w:top w:val="single" w:color="D4A843" w:sz="1"/>
              <w:left w:val="single" w:color="D4A843" w:sz="1"/>
              <w:bottom w:val="single" w:color="D4A843" w:sz="1"/>
              <w:right w:val="single" w:color="D4A843" w:sz="1"/>
            </w:tcBorders>
            <w:shd w:fill="F9F3E8" w:val="clear"/>
            <w:tcMar>
              <w:top w:type="dxa" w:w="120"/>
              <w:left w:type="dxa" w:w="160"/>
              <w:bottom w:type="dxa" w:w="120"/>
              <w:right w:type="dxa" w:w="160"/>
            </w:tcMar>
          </w:tcPr>
          <w:p>
            <w:r>
              <w:rPr>
                <w:rFonts w:ascii="Arial" w:cs="Arial" w:eastAsia="Arial" w:hAnsi="Arial"/>
                <w:b/>
                <w:bCs/>
                <w:color w:val="6B0F1A"/>
                <w:sz w:val="22"/>
                <w:szCs w:val="22"/>
              </w:rPr>
              <w:t xml:space="preserve">Days 3–4 Emphasis</w:t>
            </w:r>
          </w:p>
          <w:p>
            <w:pPr>
              <w:spacing w:after="60" w:before="0"/>
            </w:pPr>
            <w:r>
              <w:t xml:space="preserve"/>
            </w:r>
          </w:p>
          <w:p>
            <w:pPr>
              <w:pStyle w:val="ListParagraph"/>
              <w:numPr>
                <w:ilvl w:val="0"/>
                <w:numId w:val="2"/>
              </w:numPr>
              <w:spacing w:after="60" w:before="40"/>
            </w:pPr>
            <w:r>
              <w:rPr>
                <w:rFonts w:ascii="Arial" w:cs="Arial" w:eastAsia="Arial" w:hAnsi="Arial"/>
                <w:color w:val="1A1A1A"/>
                <w:sz w:val="22"/>
                <w:szCs w:val="22"/>
              </w:rPr>
              <w:t xml:space="preserve">Concept note and full proposal writing</w:t>
            </w:r>
          </w:p>
          <w:p>
            <w:pPr>
              <w:pStyle w:val="ListParagraph"/>
              <w:numPr>
                <w:ilvl w:val="0"/>
                <w:numId w:val="2"/>
              </w:numPr>
              <w:spacing w:after="60" w:before="40"/>
            </w:pPr>
            <w:r>
              <w:rPr>
                <w:rFonts w:ascii="Arial" w:cs="Arial" w:eastAsia="Arial" w:hAnsi="Arial"/>
                <w:color w:val="1A1A1A"/>
                <w:sz w:val="22"/>
                <w:szCs w:val="22"/>
              </w:rPr>
              <w:t xml:space="preserve">Budgeting basics and budget narratives</w:t>
            </w:r>
          </w:p>
          <w:p>
            <w:pPr>
              <w:pStyle w:val="ListParagraph"/>
              <w:numPr>
                <w:ilvl w:val="0"/>
                <w:numId w:val="2"/>
              </w:numPr>
              <w:spacing w:after="60" w:before="40"/>
            </w:pPr>
            <w:r>
              <w:rPr>
                <w:rFonts w:ascii="Arial" w:cs="Arial" w:eastAsia="Arial" w:hAnsi="Arial"/>
                <w:color w:val="1A1A1A"/>
                <w:sz w:val="22"/>
                <w:szCs w:val="22"/>
              </w:rPr>
              <w:t xml:space="preserve">Common proposal mistakes and how to avoid them</w:t>
            </w:r>
          </w:p>
          <w:p>
            <w:pPr>
              <w:pStyle w:val="ListParagraph"/>
              <w:numPr>
                <w:ilvl w:val="0"/>
                <w:numId w:val="2"/>
              </w:numPr>
              <w:spacing w:after="60" w:before="40"/>
            </w:pPr>
            <w:r>
              <w:rPr>
                <w:rFonts w:ascii="Arial" w:cs="Arial" w:eastAsia="Arial" w:hAnsi="Arial"/>
                <w:color w:val="1A1A1A"/>
                <w:sz w:val="22"/>
                <w:szCs w:val="22"/>
              </w:rPr>
              <w:t xml:space="preserve">Peer review, revision and personal action planning</w:t>
            </w:r>
          </w:p>
        </w:tc>
      </w:tr>
    </w:tbl>
    <w:p>
      <w:r>
        <w:br w:type="page"/>
      </w:r>
    </w:p>
    <w:p>
      <w:pPr>
        <w:pStyle w:val="Heading1"/>
        <w:spacing w:after="100" w:before="320"/>
      </w:pPr>
      <w:r>
        <w:rPr>
          <w:rFonts w:ascii="Arial" w:cs="Arial" w:eastAsia="Arial" w:hAnsi="Arial"/>
          <w:b/>
          <w:bCs/>
          <w:color w:val="6B0F1A"/>
          <w:sz w:val="30"/>
          <w:szCs w:val="30"/>
        </w:rPr>
        <w:t xml:space="preserve">6. Training Approach and Methodology</w:t>
      </w:r>
    </w:p>
    <w:p>
      <w:pPr>
        <w:pBdr>
          <w:bottom w:val="single" w:color="C5973A" w:sz="6" w:space="1"/>
        </w:pBdr>
        <w:spacing w:after="120" w:before="0"/>
      </w:pPr>
    </w:p>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programme methodology is designed as a chain of learning events: concept input, guided practice, live drafting, peer review and institutional action planning. The intention is that participants leave with usable drafts and tools, not notes alone. The fully virtual format is designed to be as interactive and participatory as an in-person workshop.</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D4A843" w:sz="1"/>
              <w:left w:val="single" w:color="D4A843" w:sz="1"/>
              <w:bottom w:val="single" w:color="D4A843" w:sz="1"/>
              <w:right w:val="single" w:color="D4A843" w:sz="1"/>
            </w:tcBorders>
            <w:shd w:fill="6B0F1A" w:val="clear"/>
            <w:tcMar>
              <w:top w:type="dxa" w:w="100"/>
              <w:left w:type="dxa" w:w="80"/>
              <w:bottom w:type="dxa" w:w="80"/>
              <w:right w:type="dxa" w:w="80"/>
            </w:tcMar>
          </w:tcPr>
          <w:p>
            <w:pPr>
              <w:jc w:val="center"/>
            </w:pPr>
            <w:r>
              <w:rPr>
                <w:rFonts w:ascii="Arial" w:cs="Arial" w:eastAsia="Arial" w:hAnsi="Arial"/>
                <w:b/>
                <w:bCs/>
                <w:color w:val="FFFFFF"/>
                <w:sz w:val="20"/>
                <w:szCs w:val="20"/>
              </w:rPr>
              <w:t xml:space="preserve">1. Context Review</w:t>
            </w:r>
          </w:p>
        </w:tc>
        <w:tc>
          <w:tcPr>
            <w:tcW w:type="dxa" w:w="1800"/>
            <w:tcBorders>
              <w:top w:val="single" w:color="D4A843" w:sz="1"/>
              <w:left w:val="single" w:color="D4A843" w:sz="1"/>
              <w:bottom w:val="single" w:color="D4A843" w:sz="1"/>
              <w:right w:val="single" w:color="D4A843" w:sz="1"/>
            </w:tcBorders>
            <w:shd w:fill="6B0F1A" w:val="clear"/>
            <w:tcMar>
              <w:top w:type="dxa" w:w="100"/>
              <w:left w:type="dxa" w:w="80"/>
              <w:bottom w:type="dxa" w:w="80"/>
              <w:right w:type="dxa" w:w="80"/>
            </w:tcMar>
          </w:tcPr>
          <w:p>
            <w:pPr>
              <w:jc w:val="center"/>
            </w:pPr>
            <w:r>
              <w:rPr>
                <w:rFonts w:ascii="Arial" w:cs="Arial" w:eastAsia="Arial" w:hAnsi="Arial"/>
                <w:b/>
                <w:bCs/>
                <w:color w:val="FFFFFF"/>
                <w:sz w:val="20"/>
                <w:szCs w:val="20"/>
              </w:rPr>
              <w:t xml:space="preserve">2. Concept Input</w:t>
            </w:r>
          </w:p>
        </w:tc>
        <w:tc>
          <w:tcPr>
            <w:tcW w:type="dxa" w:w="1800"/>
            <w:tcBorders>
              <w:top w:val="single" w:color="D4A843" w:sz="1"/>
              <w:left w:val="single" w:color="D4A843" w:sz="1"/>
              <w:bottom w:val="single" w:color="D4A843" w:sz="1"/>
              <w:right w:val="single" w:color="D4A843" w:sz="1"/>
            </w:tcBorders>
            <w:shd w:fill="6B0F1A" w:val="clear"/>
            <w:tcMar>
              <w:top w:type="dxa" w:w="100"/>
              <w:left w:type="dxa" w:w="80"/>
              <w:bottom w:type="dxa" w:w="80"/>
              <w:right w:type="dxa" w:w="80"/>
            </w:tcMar>
          </w:tcPr>
          <w:p>
            <w:pPr>
              <w:jc w:val="center"/>
            </w:pPr>
            <w:r>
              <w:rPr>
                <w:rFonts w:ascii="Arial" w:cs="Arial" w:eastAsia="Arial" w:hAnsi="Arial"/>
                <w:b/>
                <w:bCs/>
                <w:color w:val="FFFFFF"/>
                <w:sz w:val="20"/>
                <w:szCs w:val="20"/>
              </w:rPr>
              <w:t xml:space="preserve">3. Live Drafting</w:t>
            </w:r>
          </w:p>
        </w:tc>
        <w:tc>
          <w:tcPr>
            <w:tcW w:type="dxa" w:w="1800"/>
            <w:tcBorders>
              <w:top w:val="single" w:color="D4A843" w:sz="1"/>
              <w:left w:val="single" w:color="D4A843" w:sz="1"/>
              <w:bottom w:val="single" w:color="D4A843" w:sz="1"/>
              <w:right w:val="single" w:color="D4A843" w:sz="1"/>
            </w:tcBorders>
            <w:shd w:fill="6B0F1A" w:val="clear"/>
            <w:tcMar>
              <w:top w:type="dxa" w:w="100"/>
              <w:left w:type="dxa" w:w="80"/>
              <w:bottom w:type="dxa" w:w="80"/>
              <w:right w:type="dxa" w:w="80"/>
            </w:tcMar>
          </w:tcPr>
          <w:p>
            <w:pPr>
              <w:jc w:val="center"/>
            </w:pPr>
            <w:r>
              <w:rPr>
                <w:rFonts w:ascii="Arial" w:cs="Arial" w:eastAsia="Arial" w:hAnsi="Arial"/>
                <w:b/>
                <w:bCs/>
                <w:color w:val="FFFFFF"/>
                <w:sz w:val="20"/>
                <w:szCs w:val="20"/>
              </w:rPr>
              <w:t xml:space="preserve">4. Peer Review</w:t>
            </w:r>
          </w:p>
        </w:tc>
        <w:tc>
          <w:tcPr>
            <w:tcW w:type="dxa" w:w="1800"/>
            <w:tcBorders>
              <w:top w:val="single" w:color="D4A843" w:sz="1"/>
              <w:left w:val="single" w:color="D4A843" w:sz="1"/>
              <w:bottom w:val="single" w:color="D4A843" w:sz="1"/>
              <w:right w:val="single" w:color="D4A843" w:sz="1"/>
            </w:tcBorders>
            <w:shd w:fill="6B0F1A" w:val="clear"/>
            <w:tcMar>
              <w:top w:type="dxa" w:w="100"/>
              <w:left w:type="dxa" w:w="80"/>
              <w:bottom w:type="dxa" w:w="80"/>
              <w:right w:type="dxa" w:w="80"/>
            </w:tcMar>
          </w:tcPr>
          <w:p>
            <w:pPr>
              <w:jc w:val="center"/>
            </w:pPr>
            <w:r>
              <w:rPr>
                <w:rFonts w:ascii="Arial" w:cs="Arial" w:eastAsia="Arial" w:hAnsi="Arial"/>
                <w:b/>
                <w:bCs/>
                <w:color w:val="FFFFFF"/>
                <w:sz w:val="20"/>
                <w:szCs w:val="20"/>
              </w:rPr>
              <w:t xml:space="preserve">5. Action Planning</w:t>
            </w:r>
          </w:p>
        </w:tc>
      </w:tr>
      <w:tr>
        <w:tc>
          <w:tcPr>
            <w:tcW w:type="dxa" w:w="1800"/>
            <w:tcBorders>
              <w:top w:val="single" w:color="D4A843" w:sz="1"/>
              <w:left w:val="single" w:color="D4A843" w:sz="1"/>
              <w:bottom w:val="single" w:color="D4A843" w:sz="1"/>
              <w:right w:val="single" w:color="D4A843" w:sz="1"/>
            </w:tcBorders>
            <w:shd w:fill="F9F3E8" w:val="clear"/>
            <w:tcMar>
              <w:top w:type="dxa" w:w="80"/>
              <w:left w:type="dxa" w:w="80"/>
              <w:bottom w:type="dxa" w:w="80"/>
              <w:right w:type="dxa" w:w="80"/>
            </w:tcMar>
          </w:tcPr>
          <w:p>
            <w:pPr>
              <w:jc w:val="center"/>
            </w:pPr>
            <w:r>
              <w:rPr>
                <w:rFonts w:ascii="Arial" w:cs="Arial" w:eastAsia="Arial" w:hAnsi="Arial"/>
                <w:color w:val="1A1A1A"/>
                <w:sz w:val="19"/>
                <w:szCs w:val="19"/>
              </w:rPr>
              <w:t xml:space="preserve">Review AFSC programming context, existing tools and funding gaps</w:t>
            </w:r>
          </w:p>
        </w:tc>
        <w:tc>
          <w:tcPr>
            <w:tcW w:type="dxa" w:w="1800"/>
            <w:tcBorders>
              <w:top w:val="single" w:color="D4A843" w:sz="1"/>
              <w:left w:val="single" w:color="D4A843" w:sz="1"/>
              <w:bottom w:val="single" w:color="D4A843" w:sz="1"/>
              <w:right w:val="single" w:color="D4A843" w:sz="1"/>
            </w:tcBorders>
            <w:shd w:fill="F9F3E8" w:val="clear"/>
            <w:tcMar>
              <w:top w:type="dxa" w:w="80"/>
              <w:left w:type="dxa" w:w="80"/>
              <w:bottom w:type="dxa" w:w="80"/>
              <w:right w:type="dxa" w:w="80"/>
            </w:tcMar>
          </w:tcPr>
          <w:p>
            <w:pPr>
              <w:jc w:val="center"/>
            </w:pPr>
            <w:r>
              <w:rPr>
                <w:rFonts w:ascii="Arial" w:cs="Arial" w:eastAsia="Arial" w:hAnsi="Arial"/>
                <w:color w:val="1A1A1A"/>
                <w:sz w:val="19"/>
                <w:szCs w:val="19"/>
              </w:rPr>
              <w:t xml:space="preserve">Short facilitated input using humanitarian and peacebuilding funding examples</w:t>
            </w:r>
          </w:p>
        </w:tc>
        <w:tc>
          <w:tcPr>
            <w:tcW w:type="dxa" w:w="1800"/>
            <w:tcBorders>
              <w:top w:val="single" w:color="D4A843" w:sz="1"/>
              <w:left w:val="single" w:color="D4A843" w:sz="1"/>
              <w:bottom w:val="single" w:color="D4A843" w:sz="1"/>
              <w:right w:val="single" w:color="D4A843" w:sz="1"/>
            </w:tcBorders>
            <w:shd w:fill="F9F3E8" w:val="clear"/>
            <w:tcMar>
              <w:top w:type="dxa" w:w="80"/>
              <w:left w:type="dxa" w:w="80"/>
              <w:bottom w:type="dxa" w:w="80"/>
              <w:right w:type="dxa" w:w="80"/>
            </w:tcMar>
          </w:tcPr>
          <w:p>
            <w:pPr>
              <w:jc w:val="center"/>
            </w:pPr>
            <w:r>
              <w:rPr>
                <w:rFonts w:ascii="Arial" w:cs="Arial" w:eastAsia="Arial" w:hAnsi="Arial"/>
                <w:color w:val="1A1A1A"/>
                <w:sz w:val="19"/>
                <w:szCs w:val="19"/>
              </w:rPr>
              <w:t xml:space="preserve">Participants draft outputs in breakout groups using provided templates</w:t>
            </w:r>
          </w:p>
        </w:tc>
        <w:tc>
          <w:tcPr>
            <w:tcW w:type="dxa" w:w="1800"/>
            <w:tcBorders>
              <w:top w:val="single" w:color="D4A843" w:sz="1"/>
              <w:left w:val="single" w:color="D4A843" w:sz="1"/>
              <w:bottom w:val="single" w:color="D4A843" w:sz="1"/>
              <w:right w:val="single" w:color="D4A843" w:sz="1"/>
            </w:tcBorders>
            <w:shd w:fill="F9F3E8" w:val="clear"/>
            <w:tcMar>
              <w:top w:type="dxa" w:w="80"/>
              <w:left w:type="dxa" w:w="80"/>
              <w:bottom w:type="dxa" w:w="80"/>
              <w:right w:type="dxa" w:w="80"/>
            </w:tcMar>
          </w:tcPr>
          <w:p>
            <w:pPr>
              <w:jc w:val="center"/>
            </w:pPr>
            <w:r>
              <w:rPr>
                <w:rFonts w:ascii="Arial" w:cs="Arial" w:eastAsia="Arial" w:hAnsi="Arial"/>
                <w:color w:val="1A1A1A"/>
                <w:sz w:val="19"/>
                <w:szCs w:val="19"/>
              </w:rPr>
              <w:t xml:space="preserve">Structured peer feedback using a review rubric aligned to donor criteria</w:t>
            </w:r>
          </w:p>
        </w:tc>
        <w:tc>
          <w:tcPr>
            <w:tcW w:type="dxa" w:w="1800"/>
            <w:tcBorders>
              <w:top w:val="single" w:color="D4A843" w:sz="1"/>
              <w:left w:val="single" w:color="D4A843" w:sz="1"/>
              <w:bottom w:val="single" w:color="D4A843" w:sz="1"/>
              <w:right w:val="single" w:color="D4A843" w:sz="1"/>
            </w:tcBorders>
            <w:shd w:fill="F9F3E8" w:val="clear"/>
            <w:tcMar>
              <w:top w:type="dxa" w:w="80"/>
              <w:left w:type="dxa" w:w="80"/>
              <w:bottom w:type="dxa" w:w="80"/>
              <w:right w:type="dxa" w:w="80"/>
            </w:tcMar>
          </w:tcPr>
          <w:p>
            <w:pPr>
              <w:jc w:val="center"/>
            </w:pPr>
            <w:r>
              <w:rPr>
                <w:rFonts w:ascii="Arial" w:cs="Arial" w:eastAsia="Arial" w:hAnsi="Arial"/>
                <w:color w:val="1A1A1A"/>
                <w:sz w:val="19"/>
                <w:szCs w:val="19"/>
              </w:rPr>
              <w:t xml:space="preserve">Consolidate learning into a personal fundraising action plan for next 90 days</w:t>
            </w:r>
          </w:p>
        </w:tc>
      </w:tr>
    </w:tbl>
    <w:p>
      <w:pPr>
        <w:spacing w:after="160" w:before="0"/>
      </w:pPr>
      <w:r>
        <w:t xml:space="preserve"/>
      </w:r>
    </w:p>
    <w:p>
      <w:pPr>
        <w:pStyle w:val="Heading2"/>
        <w:spacing w:after="80" w:before="200"/>
      </w:pPr>
      <w:r>
        <w:rPr>
          <w:rFonts w:ascii="Arial" w:cs="Arial" w:eastAsia="Arial" w:hAnsi="Arial"/>
          <w:b/>
          <w:bCs/>
          <w:color w:val="C5973A"/>
          <w:sz w:val="24"/>
          <w:szCs w:val="24"/>
        </w:rPr>
        <w:t xml:space="preserve">Virtual Facilitation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Short input sessions</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Focused 20–30 minute concept presentations using humanitarian donor case studies and real proposal examples.</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Breakout group work</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Small groups of 4–6 work on drafting exercises with the second facilitator circulating across rooms.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Live proposal drafting</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Participants draft actual sections of a concept note or proposal using structured templates shared on screen.</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Peer review sessions</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Structured peer critique using a donor-perspective review rubric — critique, refine and strengthen outputs.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Plenary synthesis</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Group debrief after each exercise to surface common challenges, good practices and shared learning.</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Reflection and action planning</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Each day closes with a brief reflection moment and a commitment to one concrete next step.</w:t>
            </w:r>
          </w:p>
        </w:tc>
      </w:tr>
    </w:tbl>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4A843" w:sz="1"/>
              <w:left w:val="single" w:color="D4A843" w:sz="1"/>
              <w:bottom w:val="single" w:color="D4A843" w:sz="1"/>
              <w:right w:val="single" w:color="D4A843" w:sz="1"/>
            </w:tcBorders>
            <w:shd w:fill="F5E6C8" w:val="clear"/>
            <w:tcMar>
              <w:top w:type="dxa" w:w="140"/>
              <w:left w:type="dxa" w:w="200"/>
              <w:bottom w:type="dxa" w:w="140"/>
              <w:right w:type="dxa" w:w="200"/>
            </w:tcMar>
          </w:tcPr>
          <w:p>
            <w:pPr>
              <w:jc w:val="both"/>
            </w:pPr>
            <w:r>
              <w:rPr>
                <w:rFonts w:ascii="Arial" w:cs="Arial" w:eastAsia="Arial" w:hAnsi="Arial"/>
                <w:b w:val="false"/>
                <w:bCs w:val="false"/>
                <w:i/>
                <w:iCs/>
                <w:color w:val="6B0F1A"/>
                <w:sz w:val="22"/>
                <w:szCs w:val="22"/>
              </w:rPr>
              <w:t xml:space="preserve">Learning principle: Read the concept. See a real example. Draft your own version. Get peer feedback. Revise. Connect it to a live funding opportunity. Leave with something usable.</w:t>
            </w:r>
          </w:p>
        </w:tc>
      </w:tr>
    </w:tbl>
    <w:p>
      <w:r>
        <w:br w:type="page"/>
      </w:r>
    </w:p>
    <w:p>
      <w:pPr>
        <w:pStyle w:val="Heading1"/>
        <w:spacing w:after="100" w:before="320"/>
      </w:pPr>
      <w:r>
        <w:rPr>
          <w:rFonts w:ascii="Arial" w:cs="Arial" w:eastAsia="Arial" w:hAnsi="Arial"/>
          <w:b/>
          <w:bCs/>
          <w:color w:val="6B0F1A"/>
          <w:sz w:val="30"/>
          <w:szCs w:val="30"/>
        </w:rPr>
        <w:t xml:space="preserve">7. Practical Deliverables and Outputs</w:t>
      </w:r>
    </w:p>
    <w:p>
      <w:pPr>
        <w:pBdr>
          <w:bottom w:val="single" w:color="C5973A" w:sz="6" w:space="1"/>
        </w:pBdr>
        <w:spacing w:after="120" w:before="0"/>
      </w:pPr>
    </w:p>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training is structured around outputs that AFSC and its partners can directly use, adapt and build on after the workshop. These outputs are part of how the programme creates lasting value beyond the four days.</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Training Agenda and Session Plans</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A detailed four-day programme with session objectives, activities, timings and expected outputs for each session.</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Training Materials Package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Slide decks, reading notes, worked examples and reference materials contextualized for peacebuilding and humanitarian programming.</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Donor Mapping Tool</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A structured tool for identifying and profiling relevant donors — including EU, UN agencies, foundations and bilateral funders — aligned to AFSC's thematic areas.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Proposal and Concept Note Templates</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Ready-to-use templates covering problem statement, objectives, Theory of Change, methodology, results, budget narrative and annexes.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Theory of Change Diagram Template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A visual template and guide for developing a Theory of Change specific to peacebuilding, healing and social cohesion programming.</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Logical Framework (Logframe) Template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A working logframe template with guidance notes on indicators, means of verification, assumptions and risks.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Peer Review Rubric</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A structured review tool based on common donor assessment criteria, usable by teams to self-assess proposals before submission.</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Training Report</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A concise post-training report summarizing learning outcomes, participant performance, gaps identified and recommendations for strengthening fundraising capacity.</w:t>
            </w:r>
          </w:p>
        </w:tc>
      </w:tr>
    </w:tbl>
    <w:p>
      <w:r>
        <w:br w:type="page"/>
      </w:r>
    </w:p>
    <w:p>
      <w:pPr>
        <w:pStyle w:val="Heading1"/>
        <w:spacing w:after="100" w:before="320"/>
      </w:pPr>
      <w:r>
        <w:rPr>
          <w:rFonts w:ascii="Arial" w:cs="Arial" w:eastAsia="Arial" w:hAnsi="Arial"/>
          <w:b/>
          <w:bCs/>
          <w:color w:val="6B0F1A"/>
          <w:sz w:val="30"/>
          <w:szCs w:val="30"/>
        </w:rPr>
        <w:t xml:space="preserve">8. Contextualisation for Peacebuilding and Humanitarian Programming</w:t>
      </w:r>
    </w:p>
    <w:p>
      <w:pPr>
        <w:pBdr>
          <w:bottom w:val="single" w:color="C5973A" w:sz="6" w:space="1"/>
        </w:pBdr>
        <w:spacing w:after="120" w:before="0"/>
      </w:pPr>
    </w:p>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A generic fundraising training is not what AFSC needs. The programme must be grounded in the realities of programming in conflict-affected contexts — where donors apply conflict-sensitivity lenses, where communities are the primary actors and where proposals must demonstrate locally led, evidence-based and trauma-informed approaches.</w:t>
      </w:r>
    </w:p>
    <w:p>
      <w:pPr>
        <w:spacing w:after="120" w:before="0"/>
      </w:pPr>
      <w:r>
        <w:t xml:space="preserve"/>
      </w:r>
    </w:p>
    <w:p>
      <w:pPr>
        <w:pStyle w:val="Heading2"/>
        <w:spacing w:after="80" w:before="200"/>
      </w:pPr>
      <w:r>
        <w:rPr>
          <w:rFonts w:ascii="Arial" w:cs="Arial" w:eastAsia="Arial" w:hAnsi="Arial"/>
          <w:b/>
          <w:bCs/>
          <w:color w:val="C5973A"/>
          <w:sz w:val="24"/>
          <w:szCs w:val="24"/>
        </w:rPr>
        <w:t xml:space="preserve">How the Training is Contextualised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AFSC thematic anchoring</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All examples, case studies and templates are drawn from or adapted to Just Peace and Just Migration programming — not generic development projects.</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Conflict-sensitive framing</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Participants learn how to apply Do No Harm and conflict-sensitivity principles in proposal design, results logic and donor narrative.</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Locally led language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The training emphasizes how to position local partner organizations as primary actors — addressing the growing donor preference for locally led programming.</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Donor intelligence for the context</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Specific sessions map out which donors fund peacebuilding, healing, reconciliation, youth empowerment and social cohesion in Somalia and South Sudan.</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Real funding opportunities</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Where possible, the training is anchored to live or recent calls for proposals relevant to AFSC's work, making exercises immediately practical.</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Partner-level adaptation</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Exercises are designed so that participants at both the AFSC staff level and the grassroots C/FBO level can meaningfully engage and produce relevant outputs.</w:t>
            </w:r>
          </w:p>
        </w:tc>
      </w:tr>
    </w:tbl>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4A843" w:sz="1"/>
              <w:left w:val="single" w:color="D4A843" w:sz="1"/>
              <w:bottom w:val="single" w:color="D4A843" w:sz="1"/>
              <w:right w:val="single" w:color="D4A843" w:sz="1"/>
            </w:tcBorders>
            <w:shd w:fill="F9F3E8" w:val="clear"/>
            <w:tcMar>
              <w:top w:type="dxa" w:w="140"/>
              <w:left w:type="dxa" w:w="200"/>
              <w:bottom w:type="dxa" w:w="140"/>
              <w:right w:type="dxa" w:w="200"/>
            </w:tcMar>
          </w:tcPr>
          <w:p>
            <w:pPr>
              <w:jc w:val="both"/>
            </w:pPr>
            <w:r>
              <w:rPr>
                <w:rFonts w:ascii="Arial" w:cs="Arial" w:eastAsia="Arial" w:hAnsi="Arial"/>
                <w:b w:val="false"/>
                <w:bCs w:val="false"/>
                <w:i/>
                <w:iCs/>
                <w:color w:val="6B0F1A"/>
                <w:sz w:val="22"/>
                <w:szCs w:val="22"/>
              </w:rPr>
              <w:t xml:space="preserve">Peacebuilding proposals must do more than describe activities — they must tell a credible story of change in communities shaped by trauma, displacement and conflict. This training ensures participants can tell that story compellingly and convincingly to any major donor.</w:t>
            </w:r>
          </w:p>
        </w:tc>
      </w:tr>
    </w:tbl>
    <w:p>
      <w:r>
        <w:br w:type="page"/>
      </w:r>
    </w:p>
    <w:p>
      <w:pPr>
        <w:pStyle w:val="Heading1"/>
        <w:spacing w:after="100" w:before="320"/>
      </w:pPr>
      <w:r>
        <w:rPr>
          <w:rFonts w:ascii="Arial" w:cs="Arial" w:eastAsia="Arial" w:hAnsi="Arial"/>
          <w:b/>
          <w:bCs/>
          <w:color w:val="6B0F1A"/>
          <w:sz w:val="30"/>
          <w:szCs w:val="30"/>
        </w:rPr>
        <w:t xml:space="preserve">9. Theory of Change for Fundraising Capacity</w:t>
      </w:r>
    </w:p>
    <w:p>
      <w:pPr>
        <w:pBdr>
          <w:bottom w:val="single" w:color="C5973A" w:sz="6" w:space="1"/>
        </w:pBdr>
        <w:spacing w:after="120" w:before="0"/>
      </w:pPr>
    </w:p>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training itself is grounded in a Theory of Change: if AFSC staff and local partners understand the fundraising landscape, master proposal architecture and practice hands-on drafting with expert feedback, then they will produce stronger proposals, attract more funding and sustain their peacebuilding programming more effectively.</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D4A843" w:sz="1"/>
              <w:left w:val="single" w:color="D4A843" w:sz="1"/>
              <w:bottom w:val="single" w:color="D4A843" w:sz="1"/>
              <w:right w:val="single" w:color="D4A843" w:sz="1"/>
            </w:tcBorders>
            <w:shd w:fill="6B0F1A" w:val="clear"/>
            <w:tcMar>
              <w:top w:type="dxa" w:w="80"/>
              <w:left w:type="dxa" w:w="80"/>
              <w:bottom w:type="dxa" w:w="60"/>
              <w:right w:type="dxa" w:w="80"/>
            </w:tcMar>
          </w:tcPr>
          <w:p>
            <w:pPr>
              <w:jc w:val="center"/>
            </w:pPr>
            <w:r>
              <w:rPr>
                <w:rFonts w:ascii="Arial" w:cs="Arial" w:eastAsia="Arial" w:hAnsi="Arial"/>
                <w:b/>
                <w:bCs/>
                <w:color w:val="FFFFFF"/>
                <w:sz w:val="22"/>
                <w:szCs w:val="22"/>
              </w:rPr>
              <w:t xml:space="preserve">Inputs</w:t>
            </w:r>
          </w:p>
        </w:tc>
        <w:tc>
          <w:tcPr>
            <w:tcW w:type="dxa" w:w="1800"/>
            <w:tcBorders>
              <w:top w:val="single" w:color="D4A843" w:sz="1"/>
              <w:left w:val="single" w:color="D4A843" w:sz="1"/>
              <w:bottom w:val="single" w:color="D4A843" w:sz="1"/>
              <w:right w:val="single" w:color="D4A843" w:sz="1"/>
            </w:tcBorders>
            <w:shd w:fill="8B1A28" w:val="clear"/>
            <w:tcMar>
              <w:top w:type="dxa" w:w="80"/>
              <w:left w:type="dxa" w:w="80"/>
              <w:bottom w:type="dxa" w:w="60"/>
              <w:right w:type="dxa" w:w="80"/>
            </w:tcMar>
          </w:tcPr>
          <w:p>
            <w:pPr>
              <w:jc w:val="center"/>
            </w:pPr>
            <w:r>
              <w:rPr>
                <w:rFonts w:ascii="Arial" w:cs="Arial" w:eastAsia="Arial" w:hAnsi="Arial"/>
                <w:b/>
                <w:bCs/>
                <w:color w:val="FFFFFF"/>
                <w:sz w:val="22"/>
                <w:szCs w:val="22"/>
              </w:rPr>
              <w:t xml:space="preserve">Activities</w:t>
            </w:r>
          </w:p>
        </w:tc>
        <w:tc>
          <w:tcPr>
            <w:tcW w:type="dxa" w:w="1800"/>
            <w:tcBorders>
              <w:top w:val="single" w:color="D4A843" w:sz="1"/>
              <w:left w:val="single" w:color="D4A843" w:sz="1"/>
              <w:bottom w:val="single" w:color="D4A843" w:sz="1"/>
              <w:right w:val="single" w:color="D4A843" w:sz="1"/>
            </w:tcBorders>
            <w:shd w:fill="A0522D" w:val="clear"/>
            <w:tcMar>
              <w:top w:type="dxa" w:w="80"/>
              <w:left w:type="dxa" w:w="80"/>
              <w:bottom w:type="dxa" w:w="60"/>
              <w:right w:type="dxa" w:w="80"/>
            </w:tcMar>
          </w:tcPr>
          <w:p>
            <w:pPr>
              <w:jc w:val="center"/>
            </w:pPr>
            <w:r>
              <w:rPr>
                <w:rFonts w:ascii="Arial" w:cs="Arial" w:eastAsia="Arial" w:hAnsi="Arial"/>
                <w:b/>
                <w:bCs/>
                <w:color w:val="FFFFFF"/>
                <w:sz w:val="22"/>
                <w:szCs w:val="22"/>
              </w:rPr>
              <w:t xml:space="preserve">Outputs</w:t>
            </w:r>
          </w:p>
        </w:tc>
        <w:tc>
          <w:tcPr>
            <w:tcW w:type="dxa" w:w="1800"/>
            <w:tcBorders>
              <w:top w:val="single" w:color="D4A843" w:sz="1"/>
              <w:left w:val="single" w:color="D4A843" w:sz="1"/>
              <w:bottom w:val="single" w:color="D4A843" w:sz="1"/>
              <w:right w:val="single" w:color="D4A843" w:sz="1"/>
            </w:tcBorders>
            <w:shd w:fill="C5973A" w:val="clear"/>
            <w:tcMar>
              <w:top w:type="dxa" w:w="80"/>
              <w:left w:type="dxa" w:w="80"/>
              <w:bottom w:type="dxa" w:w="60"/>
              <w:right w:type="dxa" w:w="80"/>
            </w:tcMar>
          </w:tcPr>
          <w:p>
            <w:pPr>
              <w:jc w:val="center"/>
            </w:pPr>
            <w:r>
              <w:rPr>
                <w:rFonts w:ascii="Arial" w:cs="Arial" w:eastAsia="Arial" w:hAnsi="Arial"/>
                <w:b/>
                <w:bCs/>
                <w:color w:val="FFFFFF"/>
                <w:sz w:val="22"/>
                <w:szCs w:val="22"/>
              </w:rPr>
              <w:t xml:space="preserve">Outcomes</w:t>
            </w:r>
          </w:p>
        </w:tc>
        <w:tc>
          <w:tcPr>
            <w:tcW w:type="dxa" w:w="1800"/>
            <w:tcBorders>
              <w:top w:val="single" w:color="D4A843" w:sz="1"/>
              <w:left w:val="single" w:color="D4A843" w:sz="1"/>
              <w:bottom w:val="single" w:color="D4A843" w:sz="1"/>
              <w:right w:val="single" w:color="D4A843" w:sz="1"/>
            </w:tcBorders>
            <w:shd w:fill="4A7C59" w:val="clear"/>
            <w:tcMar>
              <w:top w:type="dxa" w:w="80"/>
              <w:left w:type="dxa" w:w="80"/>
              <w:bottom w:type="dxa" w:w="60"/>
              <w:right w:type="dxa" w:w="80"/>
            </w:tcMar>
          </w:tcPr>
          <w:p>
            <w:pPr>
              <w:jc w:val="center"/>
            </w:pPr>
            <w:r>
              <w:rPr>
                <w:rFonts w:ascii="Arial" w:cs="Arial" w:eastAsia="Arial" w:hAnsi="Arial"/>
                <w:b/>
                <w:bCs/>
                <w:color w:val="FFFFFF"/>
                <w:sz w:val="22"/>
                <w:szCs w:val="22"/>
              </w:rPr>
              <w:t xml:space="preserve">Impact</w:t>
            </w:r>
          </w:p>
        </w:tc>
      </w:tr>
      <w:tr>
        <w:tc>
          <w:tcPr>
            <w:tcW w:type="dxa" w:w="1800"/>
            <w:tcBorders>
              <w:top w:val="single" w:color="D4A843" w:sz="1"/>
              <w:left w:val="single" w:color="D4A843" w:sz="1"/>
              <w:bottom w:val="single" w:color="D4A843" w:sz="1"/>
              <w:right w:val="single" w:color="D4A843" w:sz="1"/>
            </w:tcBorders>
            <w:shd w:fill="F9F3E8" w:val="clear"/>
            <w:tcMar>
              <w:top w:type="dxa" w:w="80"/>
              <w:left w:type="dxa" w:w="80"/>
              <w:bottom w:type="dxa" w:w="80"/>
              <w:right w:type="dxa" w:w="80"/>
            </w:tcMar>
          </w:tcPr>
          <w:p>
            <w:pPr>
              <w:jc w:val="center"/>
            </w:pPr>
            <w:r>
              <w:rPr>
                <w:rFonts w:ascii="Arial" w:cs="Arial" w:eastAsia="Arial" w:hAnsi="Arial"/>
                <w:color w:val="1A1A1A"/>
                <w:sz w:val="19"/>
                <w:szCs w:val="19"/>
              </w:rPr>
              <w:t xml:space="preserve">Expert facilitators; contextualised curriculum; AFSC programming context; real donor examples</w:t>
            </w:r>
          </w:p>
        </w:tc>
        <w:tc>
          <w:tcPr>
            <w:tcW w:type="dxa" w:w="1800"/>
            <w:tcBorders>
              <w:top w:val="single" w:color="D4A843" w:sz="1"/>
              <w:left w:val="single" w:color="D4A843" w:sz="1"/>
              <w:bottom w:val="single" w:color="D4A843" w:sz="1"/>
              <w:right w:val="single" w:color="D4A843" w:sz="1"/>
            </w:tcBorders>
            <w:shd w:fill="F9F3E8" w:val="clear"/>
            <w:tcMar>
              <w:top w:type="dxa" w:w="80"/>
              <w:left w:type="dxa" w:w="80"/>
              <w:bottom w:type="dxa" w:w="80"/>
              <w:right w:type="dxa" w:w="80"/>
            </w:tcMar>
          </w:tcPr>
          <w:p>
            <w:pPr>
              <w:jc w:val="center"/>
            </w:pPr>
            <w:r>
              <w:rPr>
                <w:rFonts w:ascii="Arial" w:cs="Arial" w:eastAsia="Arial" w:hAnsi="Arial"/>
                <w:color w:val="1A1A1A"/>
                <w:sz w:val="19"/>
                <w:szCs w:val="19"/>
              </w:rPr>
              <w:t xml:space="preserve">4-day virtual training; drafting exercises; peer review; donor mapping; logframe building</w:t>
            </w:r>
          </w:p>
        </w:tc>
        <w:tc>
          <w:tcPr>
            <w:tcW w:type="dxa" w:w="1800"/>
            <w:tcBorders>
              <w:top w:val="single" w:color="D4A843" w:sz="1"/>
              <w:left w:val="single" w:color="D4A843" w:sz="1"/>
              <w:bottom w:val="single" w:color="D4A843" w:sz="1"/>
              <w:right w:val="single" w:color="D4A843" w:sz="1"/>
            </w:tcBorders>
            <w:shd w:fill="F9F3E8" w:val="clear"/>
            <w:tcMar>
              <w:top w:type="dxa" w:w="80"/>
              <w:left w:type="dxa" w:w="80"/>
              <w:bottom w:type="dxa" w:w="80"/>
              <w:right w:type="dxa" w:w="80"/>
            </w:tcMar>
          </w:tcPr>
          <w:p>
            <w:pPr>
              <w:jc w:val="center"/>
            </w:pPr>
            <w:r>
              <w:rPr>
                <w:rFonts w:ascii="Arial" w:cs="Arial" w:eastAsia="Arial" w:hAnsi="Arial"/>
                <w:color w:val="1A1A1A"/>
                <w:sz w:val="19"/>
                <w:szCs w:val="19"/>
              </w:rPr>
              <w:t xml:space="preserve">Donor mapping tools; concept note drafts; proposal templates; ToC diagrams; training report</w:t>
            </w:r>
          </w:p>
        </w:tc>
        <w:tc>
          <w:tcPr>
            <w:tcW w:type="dxa" w:w="1800"/>
            <w:tcBorders>
              <w:top w:val="single" w:color="D4A843" w:sz="1"/>
              <w:left w:val="single" w:color="D4A843" w:sz="1"/>
              <w:bottom w:val="single" w:color="D4A843" w:sz="1"/>
              <w:right w:val="single" w:color="D4A843" w:sz="1"/>
            </w:tcBorders>
            <w:shd w:fill="F9F3E8" w:val="clear"/>
            <w:tcMar>
              <w:top w:type="dxa" w:w="80"/>
              <w:left w:type="dxa" w:w="80"/>
              <w:bottom w:type="dxa" w:w="80"/>
              <w:right w:type="dxa" w:w="80"/>
            </w:tcMar>
          </w:tcPr>
          <w:p>
            <w:pPr>
              <w:jc w:val="center"/>
            </w:pPr>
            <w:r>
              <w:rPr>
                <w:rFonts w:ascii="Arial" w:cs="Arial" w:eastAsia="Arial" w:hAnsi="Arial"/>
                <w:color w:val="1A1A1A"/>
                <w:sz w:val="19"/>
                <w:szCs w:val="19"/>
              </w:rPr>
              <w:t xml:space="preserve">Improved proposal quality; stronger donor alignment; increased funding applications; partner confidence</w:t>
            </w:r>
          </w:p>
        </w:tc>
        <w:tc>
          <w:tcPr>
            <w:tcW w:type="dxa" w:w="1800"/>
            <w:tcBorders>
              <w:top w:val="single" w:color="D4A843" w:sz="1"/>
              <w:left w:val="single" w:color="D4A843" w:sz="1"/>
              <w:bottom w:val="single" w:color="D4A843" w:sz="1"/>
              <w:right w:val="single" w:color="D4A843" w:sz="1"/>
            </w:tcBorders>
            <w:shd w:fill="F9F3E8" w:val="clear"/>
            <w:tcMar>
              <w:top w:type="dxa" w:w="80"/>
              <w:left w:type="dxa" w:w="80"/>
              <w:bottom w:type="dxa" w:w="80"/>
              <w:right w:type="dxa" w:w="80"/>
            </w:tcMar>
          </w:tcPr>
          <w:p>
            <w:pPr>
              <w:jc w:val="center"/>
            </w:pPr>
            <w:r>
              <w:rPr>
                <w:rFonts w:ascii="Arial" w:cs="Arial" w:eastAsia="Arial" w:hAnsi="Arial"/>
                <w:color w:val="1A1A1A"/>
                <w:sz w:val="19"/>
                <w:szCs w:val="19"/>
              </w:rPr>
              <w:t xml:space="preserve">Sustained and expanded peacebuilding programming in Somalia and South Sudan</w:t>
            </w:r>
          </w:p>
        </w:tc>
      </w:tr>
    </w:tbl>
    <w:p>
      <w:pPr>
        <w:spacing w:after="160" w:before="0"/>
      </w:pPr>
      <w:r>
        <w:t xml:space="preserve"/>
      </w:r>
    </w:p>
    <w:p>
      <w:pPr>
        <w:pStyle w:val="Heading2"/>
        <w:spacing w:after="80" w:before="200"/>
      </w:pPr>
      <w:r>
        <w:rPr>
          <w:rFonts w:ascii="Arial" w:cs="Arial" w:eastAsia="Arial" w:hAnsi="Arial"/>
          <w:b/>
          <w:bCs/>
          <w:color w:val="C5973A"/>
          <w:sz w:val="24"/>
          <w:szCs w:val="24"/>
        </w:rPr>
        <w:t xml:space="preserve">Key Assumptions</w:t>
      </w:r>
    </w:p>
    <w:p>
      <w:pPr>
        <w:pStyle w:val="ListParagraph"/>
        <w:numPr>
          <w:ilvl w:val="0"/>
          <w:numId w:val="2"/>
        </w:numPr>
        <w:spacing w:after="60" w:before="40"/>
      </w:pPr>
      <w:r>
        <w:rPr>
          <w:rFonts w:ascii="Arial" w:cs="Arial" w:eastAsia="Arial" w:hAnsi="Arial"/>
          <w:color w:val="1A1A1A"/>
          <w:sz w:val="22"/>
          <w:szCs w:val="22"/>
        </w:rPr>
        <w:t xml:space="preserve">Participants have some familiarity with AFSC's programming areas and can ground exercises in real project contexts.</w:t>
      </w:r>
    </w:p>
    <w:p>
      <w:pPr>
        <w:pStyle w:val="ListParagraph"/>
        <w:numPr>
          <w:ilvl w:val="0"/>
          <w:numId w:val="2"/>
        </w:numPr>
        <w:spacing w:after="60" w:before="40"/>
      </w:pPr>
      <w:r>
        <w:rPr>
          <w:rFonts w:ascii="Arial" w:cs="Arial" w:eastAsia="Arial" w:hAnsi="Arial"/>
          <w:color w:val="1A1A1A"/>
          <w:sz w:val="22"/>
          <w:szCs w:val="22"/>
        </w:rPr>
        <w:t xml:space="preserve">AFSC will provide access to relevant programme documents, funding strategies or previous proposals to anchor the training.</w:t>
      </w:r>
    </w:p>
    <w:p>
      <w:pPr>
        <w:pStyle w:val="ListParagraph"/>
        <w:numPr>
          <w:ilvl w:val="0"/>
          <w:numId w:val="2"/>
        </w:numPr>
        <w:spacing w:after="60" w:before="40"/>
      </w:pPr>
      <w:r>
        <w:rPr>
          <w:rFonts w:ascii="Arial" w:cs="Arial" w:eastAsia="Arial" w:hAnsi="Arial"/>
          <w:color w:val="1A1A1A"/>
          <w:sz w:val="22"/>
          <w:szCs w:val="22"/>
        </w:rPr>
        <w:t xml:space="preserve">Local partner participants have basic written English skills sufficient to engage with proposal drafting exercises.</w:t>
      </w:r>
    </w:p>
    <w:p>
      <w:pPr>
        <w:pStyle w:val="ListParagraph"/>
        <w:numPr>
          <w:ilvl w:val="0"/>
          <w:numId w:val="2"/>
        </w:numPr>
        <w:spacing w:after="60" w:before="40"/>
      </w:pPr>
      <w:r>
        <w:rPr>
          <w:rFonts w:ascii="Arial" w:cs="Arial" w:eastAsia="Arial" w:hAnsi="Arial"/>
          <w:color w:val="1A1A1A"/>
          <w:sz w:val="22"/>
          <w:szCs w:val="22"/>
        </w:rPr>
        <w:t xml:space="preserve">Post-training, AFSC will create opportunities for participants to apply their learning through live proposal development processes.</w:t>
      </w:r>
    </w:p>
    <w:p>
      <w:pPr>
        <w:spacing w:after="120" w:before="0"/>
      </w:pPr>
      <w:r>
        <w:t xml:space="preserve"/>
      </w:r>
    </w:p>
    <w:p>
      <w:pPr>
        <w:pStyle w:val="Heading2"/>
        <w:spacing w:after="80" w:before="200"/>
      </w:pPr>
      <w:r>
        <w:rPr>
          <w:rFonts w:ascii="Arial" w:cs="Arial" w:eastAsia="Arial" w:hAnsi="Arial"/>
          <w:b/>
          <w:bCs/>
          <w:color w:val="C5973A"/>
          <w:sz w:val="24"/>
          <w:szCs w:val="24"/>
        </w:rPr>
        <w:t xml:space="preserve">Key Risks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Variable participant experience levels</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Training is designed with tiered exercises — a baseline concept note task on Day 1 helps facilitators calibrate depth and group participants for peer review.</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Technology challenges in virtual delivery</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Sessions will use platforms accessible in low-bandwidth environments; all materials shared in advance; facilitators available for technical support.</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Limited carry-through after training</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Action planning on Day 4 and post-training tool kits are specifically designed to support individual follow-through and team-level application.</w:t>
            </w:r>
          </w:p>
        </w:tc>
      </w:tr>
    </w:tbl>
    <w:p>
      <w:r>
        <w:br w:type="page"/>
      </w:r>
    </w:p>
    <w:p>
      <w:pPr>
        <w:pStyle w:val="Heading1"/>
        <w:spacing w:after="100" w:before="320"/>
      </w:pPr>
      <w:r>
        <w:rPr>
          <w:rFonts w:ascii="Arial" w:cs="Arial" w:eastAsia="Arial" w:hAnsi="Arial"/>
          <w:b/>
          <w:bCs/>
          <w:color w:val="6B0F1A"/>
          <w:sz w:val="30"/>
          <w:szCs w:val="30"/>
        </w:rPr>
        <w:t xml:space="preserve">10. Learning Evaluation and Post-Training Support</w:t>
      </w:r>
    </w:p>
    <w:p>
      <w:pPr>
        <w:pBdr>
          <w:bottom w:val="single" w:color="C5973A" w:sz="6" w:space="1"/>
        </w:pBdr>
        <w:spacing w:after="120" w:before="0"/>
      </w:pPr>
    </w:p>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The training will use a practical multi-level evaluation model that assesses learning throughout the four days and links evidence of learning to AFSC's institutional fundraising goals.</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Reaction</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Daily pulse checks and end-of-training feedback on relevance, clarity, facilitation quality and immediate usefulness of content and tools.</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Learning</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Pre-training baseline survey on fundraising knowledge; Day 4 output assessment measuring quality of concept note drafts and logframes against donor criteria.</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Application readiness</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Each participant leaves with a 90-day fundraising action plan identifying at least one live funding opportunity to pursue and one proposal to develop.</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Institutional follow-through</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Post-training report includes AFSC-specific recommendations for strengthening fundraising systems, processes and capacity beyond the training room.</w:t>
            </w:r>
          </w:p>
        </w:tc>
      </w:tr>
    </w:tbl>
    <w:p>
      <w:pPr>
        <w:spacing w:after="160" w:before="0"/>
      </w:pPr>
      <w:r>
        <w:t xml:space="preserve"/>
      </w:r>
    </w:p>
    <w:p>
      <w:pPr>
        <w:pStyle w:val="Heading2"/>
        <w:spacing w:after="80" w:before="200"/>
      </w:pPr>
      <w:r>
        <w:rPr>
          <w:rFonts w:ascii="Arial" w:cs="Arial" w:eastAsia="Arial" w:hAnsi="Arial"/>
          <w:b/>
          <w:bCs/>
          <w:color w:val="C5973A"/>
          <w:sz w:val="24"/>
          <w:szCs w:val="24"/>
        </w:rPr>
        <w:t xml:space="preserve">Post-Training Package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Learning Evidence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Pre/post survey results, facilitator observation notes, output quality assessments and attendance records.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Full Toolkit</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All templates, tools, guides and reference materials packaged for continued use by AFSC teams and partners after training.</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Training Report</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Concise report covering delivery summary, learning outcomes, output quality, gaps and recommendations tailored to AFSC's fundraising capacity goals.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Optional Advisory Support</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Vantage Africa is available to provide post-training advisory support — reviewing actual proposals before submission or facilitating follow-up coaching sessions.</w:t>
            </w:r>
          </w:p>
        </w:tc>
      </w:tr>
    </w:tbl>
    <w:p>
      <w:r>
        <w:br w:type="page"/>
      </w:r>
    </w:p>
    <w:p>
      <w:pPr>
        <w:pStyle w:val="Heading1"/>
        <w:spacing w:after="100" w:before="320"/>
      </w:pPr>
      <w:r>
        <w:rPr>
          <w:rFonts w:ascii="Arial" w:cs="Arial" w:eastAsia="Arial" w:hAnsi="Arial"/>
          <w:b/>
          <w:bCs/>
          <w:color w:val="6B0F1A"/>
          <w:sz w:val="30"/>
          <w:szCs w:val="30"/>
        </w:rPr>
        <w:t xml:space="preserve">11. Lead Consultant: Dr. Benson Kiarie, PhD</w:t>
      </w:r>
    </w:p>
    <w:p>
      <w:pPr>
        <w:pBdr>
          <w:bottom w:val="single" w:color="C5973A" w:sz="6" w:space="1"/>
        </w:pBdr>
        <w:spacing w:after="120" w:before="0"/>
      </w:pP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4A843" w:sz="1"/>
              <w:left w:val="single" w:color="D4A843" w:sz="1"/>
              <w:bottom w:val="single" w:color="D4A843" w:sz="1"/>
              <w:right w:val="single" w:color="D4A843" w:sz="1"/>
            </w:tcBorders>
            <w:shd w:fill="6B0F1A" w:val="clear"/>
            <w:tcMar>
              <w:top w:type="dxa" w:w="160"/>
              <w:left w:type="dxa" w:w="200"/>
              <w:bottom w:type="dxa" w:w="160"/>
              <w:right w:type="dxa" w:w="200"/>
            </w:tcMar>
          </w:tcPr>
          <w:p>
            <w:pPr>
              <w:jc w:val="center"/>
            </w:pPr>
            <w:r>
              <w:rPr>
                <w:rFonts w:ascii="Arial" w:cs="Arial" w:eastAsia="Arial" w:hAnsi="Arial"/>
                <w:b/>
                <w:bCs/>
                <w:color w:val="C5973A"/>
                <w:sz w:val="36"/>
                <w:szCs w:val="36"/>
              </w:rPr>
              <w:t xml:space="preserve">Dr. Benson Kiarie, PhD</w:t>
            </w:r>
          </w:p>
          <w:p>
            <w:pPr>
              <w:jc w:val="center"/>
            </w:pPr>
            <w:r>
              <w:rPr>
                <w:rFonts w:ascii="Arial" w:cs="Arial" w:eastAsia="Arial" w:hAnsi="Arial"/>
                <w:color w:val="FFFFFF"/>
                <w:sz w:val="24"/>
                <w:szCs w:val="24"/>
              </w:rPr>
              <w:t xml:space="preserve">CEO, Vantage Africa School of Leadership</w:t>
            </w:r>
          </w:p>
          <w:p>
            <w:pPr>
              <w:jc w:val="center"/>
            </w:pPr>
            <w:r>
              <w:rPr>
                <w:rFonts w:ascii="Arial" w:cs="Arial" w:eastAsia="Arial" w:hAnsi="Arial"/>
                <w:i/>
                <w:iCs/>
                <w:color w:val="FFFFFF"/>
                <w:sz w:val="22"/>
                <w:szCs w:val="22"/>
              </w:rPr>
              <w:t xml:space="preserve">Senior M&amp;E, Strategic Management and Institutional Performance Consultant</w:t>
            </w:r>
          </w:p>
        </w:tc>
      </w:tr>
    </w:tbl>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Experience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More than 15 years designing and delivering capacity-building programmes across Africa for governments, INGOs, NGOs, development agencies and private sector institutions.</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Qualifications</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PhD in Strategic Management | MBA in Strategic Management | Certified Monitoring and Evaluation Professional | CPA-K | CPS-K | CHRP | Lean Six Sigma Certification | Bachelor of Education</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Fundraising expertise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Extensive experience training NGO and INGO staff in proposal writing, results-based management, logical frameworks, Theory of Change and donor engagement — including organizations working in humanitarian and peacebuilding contexts.</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Humanitarian context experience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Has worked directly with South Sudan government institutions and NGOs operating in conflict-affected settings, with deep understanding of the funding landscape for peace, justice and humanitarian programming.</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Reach and impact</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Has trained over 18,500 professionals across 28 countries and supported more than 500 organizations to strengthen performance management, reporting and institutional capacity.</w:t>
            </w:r>
          </w:p>
        </w:tc>
      </w:tr>
    </w:tbl>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b/>
                <w:bCs/>
                <w:color w:val="6B0F1A"/>
                <w:sz w:val="32"/>
                <w:szCs w:val="32"/>
              </w:rPr>
              <w:t xml:space="preserve">18,500+</w:t>
            </w:r>
          </w:p>
          <w:p>
            <w:pPr>
              <w:jc w:val="center"/>
            </w:pPr>
            <w:r>
              <w:rPr>
                <w:rFonts w:ascii="Arial" w:cs="Arial" w:eastAsia="Arial" w:hAnsi="Arial"/>
                <w:color w:val="1A1A1A"/>
                <w:sz w:val="20"/>
                <w:szCs w:val="20"/>
              </w:rPr>
              <w:t xml:space="preserve">Professionals trained</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b/>
                <w:bCs/>
                <w:color w:val="6B0F1A"/>
                <w:sz w:val="32"/>
                <w:szCs w:val="32"/>
              </w:rPr>
              <w:t xml:space="preserve">28</w:t>
            </w:r>
          </w:p>
          <w:p>
            <w:pPr>
              <w:jc w:val="center"/>
            </w:pPr>
            <w:r>
              <w:rPr>
                <w:rFonts w:ascii="Arial" w:cs="Arial" w:eastAsia="Arial" w:hAnsi="Arial"/>
                <w:color w:val="1A1A1A"/>
                <w:sz w:val="20"/>
                <w:szCs w:val="20"/>
              </w:rPr>
              <w:t xml:space="preserve">Countries served</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b/>
                <w:bCs/>
                <w:color w:val="6B0F1A"/>
                <w:sz w:val="32"/>
                <w:szCs w:val="32"/>
              </w:rPr>
              <w:t xml:space="preserve">500+</w:t>
            </w:r>
          </w:p>
          <w:p>
            <w:pPr>
              <w:jc w:val="center"/>
            </w:pPr>
            <w:r>
              <w:rPr>
                <w:rFonts w:ascii="Arial" w:cs="Arial" w:eastAsia="Arial" w:hAnsi="Arial"/>
                <w:color w:val="1A1A1A"/>
                <w:sz w:val="20"/>
                <w:szCs w:val="20"/>
              </w:rPr>
              <w:t xml:space="preserve">Organizations supported</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b/>
                <w:bCs/>
                <w:color w:val="6B0F1A"/>
                <w:sz w:val="32"/>
                <w:szCs w:val="32"/>
              </w:rPr>
              <w:t xml:space="preserve">15+</w:t>
            </w:r>
          </w:p>
          <w:p>
            <w:pPr>
              <w:jc w:val="center"/>
            </w:pPr>
            <w:r>
              <w:rPr>
                <w:rFonts w:ascii="Arial" w:cs="Arial" w:eastAsia="Arial" w:hAnsi="Arial"/>
                <w:color w:val="1A1A1A"/>
                <w:sz w:val="20"/>
                <w:szCs w:val="20"/>
              </w:rPr>
              <w:t xml:space="preserve">Years of experience</w:t>
            </w:r>
          </w:p>
        </w:tc>
      </w:tr>
    </w:tbl>
    <w:p>
      <w:pPr>
        <w:spacing w:after="160" w:before="0"/>
      </w:pPr>
      <w:r>
        <w:t xml:space="preserve"/>
      </w:r>
    </w:p>
    <w:p>
      <w:pPr>
        <w:pStyle w:val="Heading2"/>
        <w:spacing w:after="80" w:before="200"/>
      </w:pPr>
      <w:r>
        <w:rPr>
          <w:rFonts w:ascii="Arial" w:cs="Arial" w:eastAsia="Arial" w:hAnsi="Arial"/>
          <w:b/>
          <w:bCs/>
          <w:color w:val="C5973A"/>
          <w:sz w:val="24"/>
          <w:szCs w:val="24"/>
        </w:rPr>
        <w:t xml:space="preserve">Role in This Assignment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Programme Leadership</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Proposal Writing Expertise</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Context Facilitation</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Quality Assurance</w:t>
            </w:r>
          </w:p>
        </w:tc>
      </w:tr>
      <w:tr>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Lead overall curriculum design, facilitation and strategic alignment with AFSC's mission and thematic areas</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Guide participants through donor landscapes, Theory of Change, logframes and competitive proposal architecture</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Adapt content to peacebuilding and humanitarian programming realities in Somalia and South Sudan</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Review all participant outputs for quality, usability and alignment with real donor expectations</w:t>
            </w:r>
          </w:p>
        </w:tc>
      </w:tr>
    </w:tbl>
    <w:p>
      <w:r>
        <w:br w:type="page"/>
      </w:r>
    </w:p>
    <w:p>
      <w:pPr>
        <w:pStyle w:val="Heading1"/>
        <w:spacing w:after="100" w:before="320"/>
      </w:pPr>
      <w:r>
        <w:rPr>
          <w:rFonts w:ascii="Arial" w:cs="Arial" w:eastAsia="Arial" w:hAnsi="Arial"/>
          <w:b/>
          <w:bCs/>
          <w:color w:val="6B0F1A"/>
          <w:sz w:val="30"/>
          <w:szCs w:val="30"/>
        </w:rPr>
        <w:t xml:space="preserve">12. Key Consultant: Edwin Wekesa Wafula</w:t>
      </w:r>
    </w:p>
    <w:p>
      <w:pPr>
        <w:pBdr>
          <w:bottom w:val="single" w:color="C5973A" w:sz="6" w:space="1"/>
        </w:pBdr>
        <w:spacing w:after="120" w:before="0"/>
      </w:pPr>
    </w:p>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Edwin Wekesa Wafula is a senior Monitoring, Evaluation and Learning specialist with more than 15 years of experience in programme management, results-based monitoring, evaluation, evidence generation and institutional capacity building. He brings strong practical experience in the design of M&amp;E systems, data collection tools, performance tracking frameworks, reporting structures and programme learning processes — skills directly applicable to proposal writing and results logic training.</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Experience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15+ years in MEL leadership across regional and global programmes, including complex multi-country NGO and INGO assignments.</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Systems focus</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Deep expertise in tools, reporting structures, logframes, Theory of Change and evidence-use disciplines — directly applicable to proposal quality and results logic.</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Regional exposure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Extensive multi-country programme practice across Sub-Saharan Africa including East Africa, where AFSC's Somalia and South Sudan programmes are based.</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Role in this assignment</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Co-facilitate technical sessions on Theory of Change, logframes and data tools; lead breakout group support; guide peer review sessions and coach participants in translating concepts into proposal-ready outputs.</w:t>
            </w:r>
          </w:p>
        </w:tc>
      </w:tr>
    </w:tbl>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Co-facilitation</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Tool Development</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Results Logic Focus</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Group Coaching</w:t>
            </w:r>
          </w:p>
        </w:tc>
      </w:tr>
      <w:tr>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Support technical delivery, breakout exercises and day-to-day facilitation flow</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Support participants to draft logframes, ToC diagrams, donor mapping tools and proposal sections</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Reinforce results-based thinking, indicator design and evidence-use in proposal development</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Review outputs, guide peer discussions and strengthen application to participants' real programming contexts</w:t>
            </w:r>
          </w:p>
        </w:tc>
      </w:tr>
    </w:tbl>
    <w:p>
      <w:r>
        <w:br w:type="page"/>
      </w:r>
    </w:p>
    <w:p>
      <w:pPr>
        <w:pStyle w:val="Heading1"/>
        <w:spacing w:after="100" w:before="320"/>
      </w:pPr>
      <w:r>
        <w:rPr>
          <w:rFonts w:ascii="Arial" w:cs="Arial" w:eastAsia="Arial" w:hAnsi="Arial"/>
          <w:b/>
          <w:bCs/>
          <w:color w:val="6B0F1A"/>
          <w:sz w:val="30"/>
          <w:szCs w:val="30"/>
        </w:rPr>
        <w:t xml:space="preserve">13. Similar Assignments and Institutional Experience</w:t>
      </w:r>
    </w:p>
    <w:p>
      <w:pPr>
        <w:pBdr>
          <w:bottom w:val="single" w:color="C5973A" w:sz="6" w:space="1"/>
        </w:pBdr>
        <w:spacing w:after="120" w:before="0"/>
      </w:pPr>
    </w:p>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Vantage Africa has a strong track record of delivering capacity-building programmes for NGOs, INGOs, government institutions and development organizations across Africa. The assignments below demonstrate specific relevance to the AFSC training mandate.</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South Sudan Ministry of Finance — M&amp;E Capacity Building</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Delivered an extended M&amp;E and performance management training in Juba, South Sudan — demonstrating direct delivery experience in conflict-affected settings and familiarity with the South Sudan programming context.</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NGO and INGO Partner Training — Proposal Writing and M&amp;E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Delivered proposal writing and results-based management training for NGO and INGO staff across multiple countries, covering Theory of Change, logframes, donor alignment, concept note writing and competitive proposal development.</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Office of the Prime Minister, Tanzania — MEAL Capacity Support</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Delivered monitoring, evaluation, accountability and learning capacity strengthening for government coordination bodies, demonstrating the ability to work within complex institutional contexts.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Gambia Ports Authority — Institutional Performance and M&amp;E</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Supported the M&amp;E team and board through practical performance management and M&amp;E strengthening — demonstrating capability in building institutional fundraising and reporting cultures.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Ministry of Finance, Namibia — M&amp;E and Performance Management</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Delivered M&amp;E and performance management strengthening focused on accountability, oversight and structured reporting — building institutional habits relevant to grant management and compliance.</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50"/>
            </w:tcMar>
          </w:tcPr>
          <w:p>
            <w:r>
              <w:rPr>
                <w:rFonts w:ascii="Arial" w:cs="Arial" w:eastAsia="Arial" w:hAnsi="Arial"/>
                <w:b/>
                <w:bCs/>
                <w:color w:val="6B0F1A"/>
                <w:sz w:val="21"/>
                <w:szCs w:val="21"/>
              </w:rPr>
              <w:t xml:space="preserve">Multiple Institutional Clients — Leadership and Systems Training</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1A1A1A"/>
                <w:sz w:val="21"/>
                <w:szCs w:val="21"/>
              </w:rPr>
              <w:t xml:space="preserve">Supported leaders, boards and technical teams across Africa through practical training programmes combining systems thinking, performance improvement and implementation follow-through.</w:t>
            </w:r>
          </w:p>
        </w:tc>
      </w:tr>
    </w:tbl>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4A843" w:sz="1"/>
              <w:left w:val="single" w:color="D4A843" w:sz="1"/>
              <w:bottom w:val="single" w:color="D4A843" w:sz="1"/>
              <w:right w:val="single" w:color="D4A843" w:sz="1"/>
            </w:tcBorders>
            <w:shd w:fill="F9F3E8" w:val="clear"/>
            <w:tcMar>
              <w:top w:type="dxa" w:w="140"/>
              <w:left w:type="dxa" w:w="200"/>
              <w:bottom w:type="dxa" w:w="140"/>
              <w:right w:type="dxa" w:w="200"/>
            </w:tcMar>
          </w:tcPr>
          <w:p>
            <w:pPr>
              <w:jc w:val="both"/>
            </w:pPr>
            <w:r>
              <w:rPr>
                <w:rFonts w:ascii="Arial" w:cs="Arial" w:eastAsia="Arial" w:hAnsi="Arial"/>
                <w:b w:val="false"/>
                <w:bCs w:val="false"/>
                <w:i/>
                <w:iCs/>
                <w:color w:val="6B0F1A"/>
                <w:sz w:val="22"/>
                <w:szCs w:val="22"/>
              </w:rPr>
              <w:t xml:space="preserve">Institutional Relevance: These assignments demonstrate Vantage Africa's proven ability to translate fundraising, M&amp;E and performance management concepts into organizational practice — in NGO, government and humanitarian contexts across Africa.</w:t>
            </w:r>
          </w:p>
        </w:tc>
      </w:tr>
    </w:tbl>
    <w:p>
      <w:r>
        <w:br w:type="page"/>
      </w:r>
    </w:p>
    <w:p>
      <w:pPr>
        <w:pStyle w:val="Heading1"/>
        <w:spacing w:after="100" w:before="320"/>
      </w:pPr>
      <w:r>
        <w:rPr>
          <w:rFonts w:ascii="Arial" w:cs="Arial" w:eastAsia="Arial" w:hAnsi="Arial"/>
          <w:b/>
          <w:bCs/>
          <w:color w:val="6B0F1A"/>
          <w:sz w:val="30"/>
          <w:szCs w:val="30"/>
        </w:rPr>
        <w:t xml:space="preserve">14. Quality Assurance, Workplan and Closing Statement</w:t>
      </w:r>
    </w:p>
    <w:p>
      <w:pPr>
        <w:pBdr>
          <w:bottom w:val="single" w:color="C5973A" w:sz="6" w:space="1"/>
        </w:pBdr>
        <w:spacing w:after="120" w:before="0"/>
      </w:pPr>
    </w:p>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Quality assurance will be embedded throughout the engagement — from curriculum design and contextualisation to delivery quality, output review and post-training recommendations.</w:t>
      </w:r>
    </w:p>
    <w:p>
      <w:pPr>
        <w:spacing w:after="120" w:before="0"/>
      </w:pPr>
      <w:r>
        <w:t xml:space="preserve"/>
      </w:r>
    </w:p>
    <w:p>
      <w:pPr>
        <w:pStyle w:val="Heading2"/>
        <w:spacing w:after="80" w:before="200"/>
      </w:pPr>
      <w:r>
        <w:rPr>
          <w:rFonts w:ascii="Arial" w:cs="Arial" w:eastAsia="Arial" w:hAnsi="Arial"/>
          <w:b/>
          <w:bCs/>
          <w:color w:val="C5973A"/>
          <w:sz w:val="24"/>
          <w:szCs w:val="24"/>
        </w:rPr>
        <w:t xml:space="preserve">Quality Assurance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Preparation quality</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Review AFSC programme context and existing fundraising tools; refine examples and exercises; align the training sequence to TOR requirements and prepare tailored virtual materials before delivery.</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Delivery quality</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Use experienced co-facilitators, participatory methods, clear session flow, active breakout management and strong time discipline across the four virtual days.</w:t>
            </w:r>
          </w:p>
        </w:tc>
      </w:tr>
      <w:tr>
        <w:tc>
          <w:tcPr>
            <w:tcW w:type="dxa" w:w="4500"/>
            <w:tcBorders>
              <w:top w:val="single" w:color="D4A843" w:sz="1"/>
              <w:left w:val="single" w:color="D4A843" w:sz="1"/>
              <w:bottom w:val="single" w:color="D4A843" w:sz="1"/>
              <w:right w:val="single" w:color="D4A843" w:sz="1"/>
            </w:tcBorders>
            <w:shd w:fill="F5E6C8" w:val="clear"/>
            <w:tcMar>
              <w:top w:type="dxa" w:w="100"/>
              <w:left w:type="dxa" w:w="150"/>
              <w:bottom w:type="dxa" w:w="100"/>
              <w:right w:type="dxa" w:w="100"/>
            </w:tcMar>
            <w:vAlign w:val="center"/>
          </w:tcPr>
          <w:p>
            <w:r>
              <w:rPr>
                <w:rFonts w:ascii="Arial" w:cs="Arial" w:eastAsia="Arial" w:hAnsi="Arial"/>
                <w:b/>
                <w:bCs/>
                <w:color w:val="6B0F1A"/>
                <w:sz w:val="22"/>
                <w:szCs w:val="22"/>
              </w:rPr>
              <w:t xml:space="preserve">Output quality</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Review all group outputs — concept notes, logframes, ToC diagrams — for completeness, usability and alignment with real donor expectations.</w:t>
            </w:r>
          </w:p>
        </w:tc>
      </w:tr>
      <w:tr>
        <w:tc>
          <w:tcPr>
            <w:tcW w:type="dxa" w:w="4500"/>
            <w:tcBorders>
              <w:top w:val="single" w:color="D4A843" w:sz="1"/>
              <w:left w:val="single" w:color="D4A843" w:sz="1"/>
              <w:bottom w:val="single" w:color="D4A843" w:sz="1"/>
              <w:right w:val="single" w:color="D4A843" w:sz="1"/>
            </w:tcBorders>
            <w:shd w:fill="F9F3E8" w:val="clear"/>
            <w:tcMar>
              <w:top w:type="dxa" w:w="100"/>
              <w:left w:type="dxa" w:w="150"/>
              <w:bottom w:type="dxa" w:w="100"/>
              <w:right w:type="dxa" w:w="100"/>
            </w:tcMar>
            <w:vAlign w:val="center"/>
          </w:tcPr>
          <w:p>
            <w:r>
              <w:rPr>
                <w:rFonts w:ascii="Arial" w:cs="Arial" w:eastAsia="Arial" w:hAnsi="Arial"/>
                <w:b/>
                <w:bCs/>
                <w:color w:val="6B0F1A"/>
                <w:sz w:val="22"/>
                <w:szCs w:val="22"/>
              </w:rPr>
              <w:t xml:space="preserve">Reporting quality</w:t>
            </w:r>
          </w:p>
        </w:tc>
        <w:tc>
          <w:tcPr>
            <w:tcW w:type="dxa" w:w="45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00"/>
            </w:tcMar>
            <w:vAlign w:val="center"/>
          </w:tcPr>
          <w:p>
            <w:r>
              <w:rPr>
                <w:rFonts w:ascii="Arial" w:cs="Arial" w:eastAsia="Arial" w:hAnsi="Arial"/>
                <w:color w:val="1A1A1A"/>
                <w:sz w:val="22"/>
                <w:szCs w:val="22"/>
              </w:rPr>
              <w:t xml:space="preserve">Provide a structured post-training report capturing learning evidence, output quality assessment, gaps identified and recommendations specific to AFSC's fundraising capacity goals.</w:t>
            </w:r>
          </w:p>
        </w:tc>
      </w:tr>
    </w:tbl>
    <w:p>
      <w:pPr>
        <w:spacing w:after="160" w:before="0"/>
      </w:pPr>
      <w:r>
        <w:t xml:space="preserve"/>
      </w:r>
    </w:p>
    <w:p>
      <w:pPr>
        <w:pStyle w:val="Heading2"/>
        <w:spacing w:after="80" w:before="200"/>
      </w:pPr>
      <w:r>
        <w:rPr>
          <w:rFonts w:ascii="Arial" w:cs="Arial" w:eastAsia="Arial" w:hAnsi="Arial"/>
          <w:b/>
          <w:bCs/>
          <w:color w:val="C5973A"/>
          <w:sz w:val="24"/>
          <w:szCs w:val="24"/>
        </w:rPr>
        <w:t xml:space="preserve">Indicative Workplan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00"/>
      </w:tblGrid>
      <w:tr>
        <w:tc>
          <w:tcPr>
            <w:tcW w:type="dxa" w:w="900"/>
            <w:tcBorders>
              <w:top w:val="single" w:color="D4A843" w:sz="1"/>
              <w:left w:val="single" w:color="D4A843" w:sz="1"/>
              <w:bottom w:val="single" w:color="D4A843" w:sz="1"/>
              <w:right w:val="single" w:color="D4A843" w:sz="1"/>
            </w:tcBorders>
            <w:shd w:fill="6B0F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Day</w:t>
            </w:r>
          </w:p>
        </w:tc>
        <w:tc>
          <w:tcPr>
            <w:tcW w:type="dxa" w:w="3200"/>
            <w:tcBorders>
              <w:top w:val="single" w:color="D4A843" w:sz="1"/>
              <w:left w:val="single" w:color="D4A843" w:sz="1"/>
              <w:bottom w:val="single" w:color="D4A843" w:sz="1"/>
              <w:right w:val="single" w:color="D4A843" w:sz="1"/>
            </w:tcBorders>
            <w:shd w:fill="6B0F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Theme</w:t>
            </w:r>
          </w:p>
        </w:tc>
        <w:tc>
          <w:tcPr>
            <w:tcW w:type="dxa" w:w="4900"/>
            <w:tcBorders>
              <w:top w:val="single" w:color="D4A843" w:sz="1"/>
              <w:left w:val="single" w:color="D4A843" w:sz="1"/>
              <w:bottom w:val="single" w:color="D4A843" w:sz="1"/>
              <w:right w:val="single" w:color="D4A843" w:sz="1"/>
            </w:tcBorders>
            <w:shd w:fill="6B0F1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Practical Output</w:t>
            </w:r>
          </w:p>
        </w:tc>
      </w:tr>
      <w:tr>
        <w:tc>
          <w:tcPr>
            <w:tcW w:type="dxa" w:w="900"/>
            <w:tcBorders>
              <w:top w:val="single" w:color="D4A843" w:sz="1"/>
              <w:left w:val="single" w:color="D4A843" w:sz="1"/>
              <w:bottom w:val="single" w:color="D4A843" w:sz="1"/>
              <w:right w:val="single" w:color="D4A843" w:sz="1"/>
            </w:tcBorders>
            <w:shd w:fill="F5E6C8" w:val="clear"/>
            <w:tcMar>
              <w:top w:type="dxa" w:w="100"/>
              <w:left w:type="dxa" w:w="120"/>
              <w:bottom w:type="dxa" w:w="100"/>
              <w:right w:type="dxa" w:w="120"/>
            </w:tcMar>
            <w:vAlign w:val="center"/>
          </w:tcPr>
          <w:p>
            <w:pPr>
              <w:jc w:val="center"/>
            </w:pPr>
            <w:r>
              <w:rPr>
                <w:rFonts w:ascii="Arial" w:cs="Arial" w:eastAsia="Arial" w:hAnsi="Arial"/>
                <w:b/>
                <w:bCs/>
                <w:color w:val="6B0F1A"/>
                <w:sz w:val="22"/>
                <w:szCs w:val="22"/>
              </w:rPr>
              <w:t xml:space="preserve">Pre-training</w:t>
            </w:r>
          </w:p>
        </w:tc>
        <w:tc>
          <w:tcPr>
            <w:tcW w:type="dxa" w:w="3200"/>
            <w:tcBorders>
              <w:top w:val="single" w:color="D4A843" w:sz="1"/>
              <w:left w:val="single" w:color="D4A843" w:sz="1"/>
              <w:bottom w:val="single" w:color="D4A843" w:sz="1"/>
              <w:right w:val="single" w:color="D4A843" w:sz="1"/>
            </w:tcBorders>
            <w:shd w:fill="F5E6C8" w:val="clear"/>
            <w:tcMar>
              <w:top w:type="dxa" w:w="100"/>
              <w:left w:type="dxa" w:w="120"/>
              <w:bottom w:type="dxa" w:w="100"/>
              <w:right w:type="dxa" w:w="120"/>
            </w:tcMar>
          </w:tcPr>
          <w:p>
            <w:r>
              <w:rPr>
                <w:rFonts w:ascii="Arial" w:cs="Arial" w:eastAsia="Arial" w:hAnsi="Arial"/>
                <w:b/>
                <w:bCs/>
                <w:color w:val="1A1A1A"/>
                <w:sz w:val="21"/>
                <w:szCs w:val="21"/>
              </w:rPr>
              <w:t xml:space="preserve">Context review and curriculum finalisation</w:t>
            </w:r>
          </w:p>
        </w:tc>
        <w:tc>
          <w:tcPr>
            <w:tcW w:type="dxa" w:w="490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r>
              <w:rPr>
                <w:rFonts w:ascii="Arial" w:cs="Arial" w:eastAsia="Arial" w:hAnsi="Arial"/>
                <w:color w:val="1A1A1A"/>
                <w:sz w:val="21"/>
                <w:szCs w:val="21"/>
              </w:rPr>
              <w:t xml:space="preserve">Tailored training materials; AFSC-contextualised templates and examples; confirmed virtual platform setup</w:t>
            </w:r>
          </w:p>
        </w:tc>
      </w:tr>
      <w:tr>
        <w:tc>
          <w:tcPr>
            <w:tcW w:type="dxa" w:w="900"/>
            <w:tcBorders>
              <w:top w:val="single" w:color="D4A843" w:sz="1"/>
              <w:left w:val="single" w:color="D4A843" w:sz="1"/>
              <w:bottom w:val="single" w:color="D4A843" w:sz="1"/>
              <w:right w:val="single" w:color="D4A843"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6B0F1A"/>
                <w:sz w:val="22"/>
                <w:szCs w:val="22"/>
              </w:rPr>
              <w:t xml:space="preserve">Days 1–4</w:t>
            </w:r>
          </w:p>
        </w:tc>
        <w:tc>
          <w:tcPr>
            <w:tcW w:type="dxa" w:w="3200"/>
            <w:tcBorders>
              <w:top w:val="single" w:color="D4A843" w:sz="1"/>
              <w:left w:val="single" w:color="D4A843" w:sz="1"/>
              <w:bottom w:val="single" w:color="D4A843" w:sz="1"/>
              <w:right w:val="single" w:color="D4A843" w:sz="1"/>
            </w:tcBorders>
            <w:shd w:fill="FFFFFF" w:val="clear"/>
            <w:tcMar>
              <w:top w:type="dxa" w:w="100"/>
              <w:left w:type="dxa" w:w="120"/>
              <w:bottom w:type="dxa" w:w="100"/>
              <w:right w:type="dxa" w:w="120"/>
            </w:tcMar>
          </w:tcPr>
          <w:p>
            <w:r>
              <w:rPr>
                <w:rFonts w:ascii="Arial" w:cs="Arial" w:eastAsia="Arial" w:hAnsi="Arial"/>
                <w:b/>
                <w:bCs/>
                <w:color w:val="1A1A1A"/>
                <w:sz w:val="21"/>
                <w:szCs w:val="21"/>
              </w:rPr>
              <w:t xml:space="preserve">Training delivery</w:t>
            </w:r>
          </w:p>
        </w:tc>
        <w:tc>
          <w:tcPr>
            <w:tcW w:type="dxa" w:w="4900"/>
            <w:tcBorders>
              <w:top w:val="single" w:color="D4A843" w:sz="1"/>
              <w:left w:val="single" w:color="D4A843" w:sz="1"/>
              <w:bottom w:val="single" w:color="D4A843" w:sz="1"/>
              <w:right w:val="single" w:color="D4A843" w:sz="1"/>
            </w:tcBorders>
            <w:shd w:fill="FFFFFF" w:val="clear"/>
            <w:tcMar>
              <w:top w:type="dxa" w:w="100"/>
              <w:left w:type="dxa" w:w="120"/>
              <w:bottom w:type="dxa" w:w="100"/>
              <w:right w:type="dxa" w:w="120"/>
            </w:tcMar>
          </w:tcPr>
          <w:p>
            <w:r>
              <w:rPr>
                <w:rFonts w:ascii="Arial" w:cs="Arial" w:eastAsia="Arial" w:hAnsi="Arial"/>
                <w:color w:val="1A1A1A"/>
                <w:sz w:val="21"/>
                <w:szCs w:val="21"/>
              </w:rPr>
              <w:t xml:space="preserve">Daily facilitation, drafting exercises, peer review sessions, breakout coaching and end-of-day synthesis</w:t>
            </w:r>
          </w:p>
        </w:tc>
      </w:tr>
      <w:tr>
        <w:tc>
          <w:tcPr>
            <w:tcW w:type="dxa" w:w="900"/>
            <w:tcBorders>
              <w:top w:val="single" w:color="D4A843" w:sz="1"/>
              <w:left w:val="single" w:color="D4A843" w:sz="1"/>
              <w:bottom w:val="single" w:color="D4A843" w:sz="1"/>
              <w:right w:val="single" w:color="D4A843" w:sz="1"/>
            </w:tcBorders>
            <w:shd w:fill="F5E6C8" w:val="clear"/>
            <w:tcMar>
              <w:top w:type="dxa" w:w="100"/>
              <w:left w:type="dxa" w:w="120"/>
              <w:bottom w:type="dxa" w:w="100"/>
              <w:right w:type="dxa" w:w="120"/>
            </w:tcMar>
            <w:vAlign w:val="center"/>
          </w:tcPr>
          <w:p>
            <w:pPr>
              <w:jc w:val="center"/>
            </w:pPr>
            <w:r>
              <w:rPr>
                <w:rFonts w:ascii="Arial" w:cs="Arial" w:eastAsia="Arial" w:hAnsi="Arial"/>
                <w:b/>
                <w:bCs/>
                <w:color w:val="6B0F1A"/>
                <w:sz w:val="22"/>
                <w:szCs w:val="22"/>
              </w:rPr>
              <w:t xml:space="preserve">Post-training</w:t>
            </w:r>
          </w:p>
        </w:tc>
        <w:tc>
          <w:tcPr>
            <w:tcW w:type="dxa" w:w="3200"/>
            <w:tcBorders>
              <w:top w:val="single" w:color="D4A843" w:sz="1"/>
              <w:left w:val="single" w:color="D4A843" w:sz="1"/>
              <w:bottom w:val="single" w:color="D4A843" w:sz="1"/>
              <w:right w:val="single" w:color="D4A843" w:sz="1"/>
            </w:tcBorders>
            <w:shd w:fill="F5E6C8" w:val="clear"/>
            <w:tcMar>
              <w:top w:type="dxa" w:w="100"/>
              <w:left w:type="dxa" w:w="120"/>
              <w:bottom w:type="dxa" w:w="100"/>
              <w:right w:type="dxa" w:w="120"/>
            </w:tcMar>
          </w:tcPr>
          <w:p>
            <w:r>
              <w:rPr>
                <w:rFonts w:ascii="Arial" w:cs="Arial" w:eastAsia="Arial" w:hAnsi="Arial"/>
                <w:b/>
                <w:bCs/>
                <w:color w:val="1A1A1A"/>
                <w:sz w:val="21"/>
                <w:szCs w:val="21"/>
              </w:rPr>
              <w:t xml:space="preserve">Report and toolkit submission</w:t>
            </w:r>
          </w:p>
        </w:tc>
        <w:tc>
          <w:tcPr>
            <w:tcW w:type="dxa" w:w="490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r>
              <w:rPr>
                <w:rFonts w:ascii="Arial" w:cs="Arial" w:eastAsia="Arial" w:hAnsi="Arial"/>
                <w:color w:val="1A1A1A"/>
                <w:sz w:val="21"/>
                <w:szCs w:val="21"/>
              </w:rPr>
              <w:t xml:space="preserve">Full training report; complete post-training toolkit; recommendations for next steps in fundraising capacity strengthening</w:t>
            </w:r>
          </w:p>
        </w:tc>
      </w:tr>
      <w:tr>
        <w:tc>
          <w:tcPr>
            <w:tcW w:type="dxa" w:w="900"/>
            <w:tcBorders>
              <w:top w:val="single" w:color="D4A843" w:sz="1"/>
              <w:left w:val="single" w:color="D4A843" w:sz="1"/>
              <w:bottom w:val="single" w:color="D4A843" w:sz="1"/>
              <w:right w:val="single" w:color="D4A843"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6B0F1A"/>
                <w:sz w:val="22"/>
                <w:szCs w:val="22"/>
              </w:rPr>
              <w:t xml:space="preserve">Optional</w:t>
            </w:r>
          </w:p>
        </w:tc>
        <w:tc>
          <w:tcPr>
            <w:tcW w:type="dxa" w:w="3200"/>
            <w:tcBorders>
              <w:top w:val="single" w:color="D4A843" w:sz="1"/>
              <w:left w:val="single" w:color="D4A843" w:sz="1"/>
              <w:bottom w:val="single" w:color="D4A843" w:sz="1"/>
              <w:right w:val="single" w:color="D4A843" w:sz="1"/>
            </w:tcBorders>
            <w:shd w:fill="FFFFFF" w:val="clear"/>
            <w:tcMar>
              <w:top w:type="dxa" w:w="100"/>
              <w:left w:type="dxa" w:w="120"/>
              <w:bottom w:type="dxa" w:w="100"/>
              <w:right w:type="dxa" w:w="120"/>
            </w:tcMar>
          </w:tcPr>
          <w:p>
            <w:r>
              <w:rPr>
                <w:rFonts w:ascii="Arial" w:cs="Arial" w:eastAsia="Arial" w:hAnsi="Arial"/>
                <w:b/>
                <w:bCs/>
                <w:color w:val="1A1A1A"/>
                <w:sz w:val="21"/>
                <w:szCs w:val="21"/>
              </w:rPr>
              <w:t xml:space="preserve">Follow-on advisory support</w:t>
            </w:r>
          </w:p>
        </w:tc>
        <w:tc>
          <w:tcPr>
            <w:tcW w:type="dxa" w:w="4900"/>
            <w:tcBorders>
              <w:top w:val="single" w:color="D4A843" w:sz="1"/>
              <w:left w:val="single" w:color="D4A843" w:sz="1"/>
              <w:bottom w:val="single" w:color="D4A843" w:sz="1"/>
              <w:right w:val="single" w:color="D4A843" w:sz="1"/>
            </w:tcBorders>
            <w:shd w:fill="FFFFFF" w:val="clear"/>
            <w:tcMar>
              <w:top w:type="dxa" w:w="100"/>
              <w:left w:type="dxa" w:w="120"/>
              <w:bottom w:type="dxa" w:w="100"/>
              <w:right w:type="dxa" w:w="120"/>
            </w:tcMar>
          </w:tcPr>
          <w:p>
            <w:r>
              <w:rPr>
                <w:rFonts w:ascii="Arial" w:cs="Arial" w:eastAsia="Arial" w:hAnsi="Arial"/>
                <w:color w:val="1A1A1A"/>
                <w:sz w:val="21"/>
                <w:szCs w:val="21"/>
              </w:rPr>
              <w:t xml:space="preserve">Proposal review sessions; coaching on live funding applications; follow-up capacity strengthening workshops</w:t>
            </w:r>
          </w:p>
        </w:tc>
      </w:tr>
    </w:tbl>
    <w:p>
      <w:pPr>
        <w:spacing w:after="1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Clarity</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Consistency</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Participation</w:t>
            </w:r>
          </w:p>
        </w:tc>
        <w:tc>
          <w:tcPr>
            <w:tcW w:type="dxa" w:w="2250"/>
            <w:tcBorders>
              <w:top w:val="single" w:color="D4A843" w:sz="1"/>
              <w:left w:val="single" w:color="D4A843" w:sz="1"/>
              <w:bottom w:val="single" w:color="D4A843" w:sz="1"/>
              <w:right w:val="single" w:color="D4A843" w:sz="1"/>
            </w:tcBorders>
            <w:shd w:fill="6B0F1A" w:val="clear"/>
            <w:tcMar>
              <w:top w:type="dxa" w:w="100"/>
              <w:left w:type="dxa" w:w="120"/>
              <w:bottom w:type="dxa" w:w="60"/>
              <w:right w:type="dxa" w:w="120"/>
            </w:tcMar>
          </w:tcPr>
          <w:p>
            <w:pPr>
              <w:jc w:val="center"/>
            </w:pPr>
            <w:r>
              <w:rPr>
                <w:rFonts w:ascii="Arial" w:cs="Arial" w:eastAsia="Arial" w:hAnsi="Arial"/>
                <w:b/>
                <w:bCs/>
                <w:color w:val="FFFFFF"/>
                <w:sz w:val="22"/>
                <w:szCs w:val="22"/>
              </w:rPr>
              <w:t xml:space="preserve">Follow-through</w:t>
            </w:r>
          </w:p>
        </w:tc>
      </w:tr>
      <w:tr>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Every session has clear objectives, expected outputs and a direct link to AFSC's fundraising needs</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Templates, facilitation approach and materials remain aligned throughout the four days</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Drafting, peer review and reflection moments ensure active engagement — not passive listening</w:t>
            </w:r>
          </w:p>
        </w:tc>
        <w:tc>
          <w:tcPr>
            <w:tcW w:type="dxa" w:w="2250"/>
            <w:tcBorders>
              <w:top w:val="single" w:color="D4A843" w:sz="1"/>
              <w:left w:val="single" w:color="D4A843" w:sz="1"/>
              <w:bottom w:val="single" w:color="D4A843" w:sz="1"/>
              <w:right w:val="single" w:color="D4A843" w:sz="1"/>
            </w:tcBorders>
            <w:shd w:fill="F9F3E8" w:val="clear"/>
            <w:tcMar>
              <w:top w:type="dxa" w:w="100"/>
              <w:left w:type="dxa" w:w="120"/>
              <w:bottom w:type="dxa" w:w="100"/>
              <w:right w:type="dxa" w:w="120"/>
            </w:tcMar>
          </w:tcPr>
          <w:p>
            <w:pPr>
              <w:jc w:val="center"/>
            </w:pPr>
            <w:r>
              <w:rPr>
                <w:rFonts w:ascii="Arial" w:cs="Arial" w:eastAsia="Arial" w:hAnsi="Arial"/>
                <w:color w:val="1A1A1A"/>
                <w:sz w:val="20"/>
                <w:szCs w:val="20"/>
              </w:rPr>
              <w:t xml:space="preserve">All outputs and recommendations are designed for AFSC to use immediately after the training</w:t>
            </w:r>
          </w:p>
        </w:tc>
      </w:tr>
    </w:tbl>
    <w:p>
      <w:pPr>
        <w:spacing w:after="2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4A843" w:sz="1"/>
              <w:left w:val="single" w:color="D4A843" w:sz="1"/>
              <w:bottom w:val="single" w:color="D4A843" w:sz="1"/>
              <w:right w:val="single" w:color="D4A843" w:sz="1"/>
            </w:tcBorders>
            <w:shd w:fill="6B0F1A" w:val="clear"/>
            <w:tcMar>
              <w:top w:type="dxa" w:w="140"/>
              <w:left w:type="dxa" w:w="200"/>
              <w:bottom w:type="dxa" w:w="140"/>
              <w:right w:type="dxa" w:w="200"/>
            </w:tcMar>
          </w:tcPr>
          <w:p>
            <w:pPr>
              <w:jc w:val="both"/>
            </w:pPr>
            <w:r>
              <w:rPr>
                <w:rFonts w:ascii="Arial" w:cs="Arial" w:eastAsia="Arial" w:hAnsi="Arial"/>
                <w:b/>
                <w:bCs/>
                <w:i w:val="false"/>
                <w:iCs w:val="false"/>
                <w:color w:val="FFFFFF"/>
                <w:sz w:val="22"/>
                <w:szCs w:val="22"/>
              </w:rPr>
              <w:t xml:space="preserve">Vantage Africa is ready to support AFSC with a practically grounded, contextually relevant and results-oriented Fundraising and Proposal Writing training. Our objective is not only to deliver a successful four-day workshop, but to meaningfully strengthen AFSC's and its partners' ability to sustain and scale peace and justice programming through competitive, high-quality proposals.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973A" w:sz="4" w:space="2"/>
      </w:pBdr>
      <w:tabs>
        <w:tab w:val="right" w:pos="9026"/>
      </w:tabs>
    </w:pPr>
    <w:r>
      <w:rPr>
        <w:rFonts w:ascii="Arial" w:cs="Arial" w:eastAsia="Arial" w:hAnsi="Arial"/>
        <w:color w:val="6B0F1A"/>
        <w:sz w:val="18"/>
        <w:szCs w:val="18"/>
      </w:rPr>
      <w:t xml:space="preserve">www.vantageafricaleaders.com  |  bkiarie@vantageafricaleaders.com</w:t>
    </w:r>
    <w:r>
      <w:rPr>
        <w:rFonts w:ascii="Arial" w:cs="Arial" w:eastAsia="Arial" w:hAnsi="Arial"/>
        <w:color w:val="1A1A1A"/>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973A" w:sz="4" w:space="2"/>
      </w:pBdr>
    </w:pPr>
    <w:r>
      <w:rPr>
        <w:rFonts w:ascii="Arial" w:cs="Arial" w:eastAsia="Arial" w:hAnsi="Arial"/>
        <w:b/>
        <w:bCs/>
        <w:color w:val="6B0F1A"/>
        <w:sz w:val="18"/>
        <w:szCs w:val="18"/>
      </w:rPr>
      <w:t xml:space="preserve">Vantage Africa School of Leadership  |  </w:t>
    </w:r>
    <w:r>
      <w:rPr>
        <w:rFonts w:ascii="Arial" w:cs="Arial" w:eastAsia="Arial" w:hAnsi="Arial"/>
        <w:color w:val="1A1A1A"/>
        <w:sz w:val="18"/>
        <w:szCs w:val="18"/>
      </w:rPr>
      <w:t xml:space="preserve">Technical Proposal: Fundraising &amp; Proposal Writing Training for AFSC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6B0F1A"/>
      <w:sz w:val="30"/>
      <w:szCs w:val="30"/>
    </w:rPr>
  </w:style>
  <w:style w:type="paragraph" w:styleId="Heading2">
    <w:name w:val="Heading 2"/>
    <w:basedOn w:val="Normal"/>
    <w:next w:val="Normal"/>
    <w:qFormat/>
    <w:pPr>
      <w:spacing w:after="80" w:before="200"/>
      <w:outlineLvl w:val="1"/>
    </w:pPr>
    <w:rPr>
      <w:rFonts w:ascii="Arial" w:cs="Arial" w:eastAsia="Arial" w:hAnsi="Arial"/>
      <w:b/>
      <w:bCs/>
      <w:color w:val="C597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2026-06-26T09:19:28.748Z</dcterms:created>
  <dcterms:modified xsi:type="dcterms:W3CDTF">2026-06-26T09:19:28.749Z</dcterms:modified>
</cp:coreProperties>
</file>

<file path=docProps/custom.xml><?xml version="1.0" encoding="utf-8"?>
<Properties xmlns="http://schemas.openxmlformats.org/officeDocument/2006/custom-properties" xmlns:vt="http://schemas.openxmlformats.org/officeDocument/2006/docPropsVTypes"/>
</file>