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before="0" w:after="200"/>
        <w:jc w:val="left"/>
      </w:pPr>
      <w:r>
        <w:rPr>
          <w:rFonts w:ascii="Calibri" w:hAnsi="Calibri"/>
          <w:b/>
          <w:color w:val="B17818"/>
          <w:sz w:val="19"/>
        </w:rPr>
        <w:t>AI ENGINEERING PORTFOLIO CASE STUDY</w:t>
      </w:r>
    </w:p>
    <w:p>
      <w:pPr>
        <w:keepNext/>
        <w:spacing w:before="0" w:after="240"/>
        <w:jc w:val="left"/>
      </w:pPr>
      <w:r>
        <w:rPr>
          <w:rFonts w:ascii="Calibri" w:hAnsi="Calibri"/>
          <w:b/>
          <w:color w:val="0B2545"/>
          <w:sz w:val="60"/>
        </w:rPr>
        <w:t>Replacing PyTorch with ONNX in a Production RAG API</w:t>
      </w:r>
    </w:p>
    <w:p>
      <w:pPr>
        <w:spacing w:before="0" w:after="560"/>
        <w:jc w:val="left"/>
      </w:pPr>
      <w:r>
        <w:rPr>
          <w:rFonts w:ascii="Calibri" w:hAnsi="Calibri"/>
          <w:color w:val="5C6673"/>
          <w:sz w:val="29"/>
        </w:rPr>
        <w:t>Reducing serverless deployment weight and latency while preserving an existing 384-dimensional retrieval index</w:t>
      </w:r>
    </w:p>
    <w:p>
      <w:pPr>
        <w:spacing w:after="360"/>
        <w:ind w:left="648" w:right="648"/>
        <w:jc w:val="center"/>
        <w:pBdr>
          <w:bottom w:val="single" w:sz="10" w:space="10" w:color="B17818"/>
        </w:pBdr>
      </w:pPr>
      <w:r>
        <w:rPr>
          <w:rFonts w:ascii="Calibri" w:hAnsi="Calibri"/>
          <w:i/>
          <w:color w:val="1F4D78"/>
          <w:sz w:val="30"/>
        </w:rPr>
        <w:t>“85% smaller deployment. Identical retrieval behavior. No re-index.”</w:t>
      </w:r>
    </w:p>
    <w:p>
      <w:pPr>
        <w:spacing w:before="160" w:after="80"/>
        <w:jc w:val="center"/>
      </w:pPr>
      <w:r>
        <w:rPr>
          <w:rFonts w:ascii="Calibri" w:hAnsi="Calibri"/>
          <w:b/>
          <w:color w:val="0B2545"/>
          <w:sz w:val="22"/>
        </w:rPr>
        <w:t>JOSIAH deGRASSE</w:t>
      </w:r>
    </w:p>
    <w:p>
      <w:pPr>
        <w:spacing w:after="80"/>
        <w:jc w:val="center"/>
      </w:pPr>
      <w:r>
        <w:rPr>
          <w:rFonts w:ascii="Calibri" w:hAnsi="Calibri"/>
          <w:color w:val="5C6673"/>
          <w:sz w:val="20"/>
        </w:rPr>
        <w:t>AI Engineering • Production Optimization • July 2026</w:t>
      </w:r>
    </w:p>
    <w:p>
      <w:pPr>
        <w:jc w:val="center"/>
      </w:pPr>
      <w:r>
        <w:rPr>
          <w:rFonts w:ascii="Calibri" w:hAnsi="Calibri"/>
          <w:i/>
          <w:color w:val="5C6673"/>
          <w:sz w:val="19"/>
        </w:rPr>
        <w:t>Platform context: AI-assisted sensory and food R&amp;D research</w:t>
      </w:r>
    </w:p>
    <w:p>
      <w:r>
        <w:br w:type="page"/>
      </w:r>
    </w:p>
    <w:p>
      <w:pPr>
        <w:spacing w:before="0" w:after="120"/>
        <w:jc w:val="left"/>
      </w:pPr>
      <w:r>
        <w:rPr>
          <w:rFonts w:ascii="Calibri" w:hAnsi="Calibri"/>
          <w:b/>
          <w:color w:val="B17818"/>
          <w:sz w:val="19"/>
        </w:rPr>
        <w:t>EXECUTIVE OVERVIEW</w:t>
      </w:r>
    </w:p>
    <w:p>
      <w:pPr>
        <w:pStyle w:val="Heading1"/>
        <w:keepNext/>
      </w:pPr>
      <w:r>
        <w:t>The outcome</w:t>
      </w:r>
    </w:p>
    <w:p>
      <w:r>
        <w:rPr>
          <w:rFonts w:ascii="Calibri" w:hAnsi="Calibri"/>
          <w:i w:val="0"/>
          <w:color w:val="202936"/>
          <w:sz w:val="22"/>
        </w:rPr>
        <w:t>I modernized the embedding layer of a production retrieval-augmented generation (RAG) API by replacing a framework-heavy PyTorch deployment with a pinned, full-precision ONNX pipeline. The change reduced the production function bundle from 2.74 GB to 398.48 MB—approximately 85%—without changing the model, vector dimensions, existing index, or retrieval rankings.</w:t>
      </w:r>
    </w:p>
    <w:tbl>
      <w:tblPr>
        <w:tblW w:type="dxa" w:w="9360"/>
        <w:jc w:val="left"/>
        <w:tblLayout w:type="fixed"/>
        <w:tblLook w:firstColumn="1" w:firstRow="1" w:lastColumn="0" w:lastRow="0" w:noHBand="0" w:noVBand="1" w:val="04A0"/>
        <w:tblInd w:w="120" w:type="dxa"/>
        <w:tblBorders>
          <w:top w:val="single" w:sz="0" w:space="0" w:color="FFFFFF"/>
          <w:bottom w:val="single" w:sz="0" w:space="0" w:color="FFFFFF"/>
          <w:insideH w:val="single" w:sz="0" w:space="0" w:color="FFFFFF"/>
          <w:insideV w:val="single" w:sz="0" w:space="0" w:color="FFFFFF"/>
        </w:tblBorders>
      </w:tblPr>
      <w:tblGrid>
        <w:gridCol w:w="2340"/>
        <w:gridCol w:w="2340"/>
        <w:gridCol w:w="2340"/>
        <w:gridCol w:w="2340"/>
      </w:tblGrid>
      <w:tr>
        <w:trPr>
          <w:tblHeader w:val="true"/>
        </w:trPr>
        <w:tc>
          <w:tcPr>
            <w:tcW w:type="dxa" w:w="2340"/>
            <w:tcMar>
              <w:top w:w="80" w:type="dxa"/>
              <w:bottom w:w="80" w:type="dxa"/>
              <w:start w:w="120" w:type="dxa"/>
              <w:end w:w="120" w:type="dxa"/>
            </w:tcMar>
            <w:vAlign w:val="center"/>
            <w:shd w:fill="0B2545"/>
          </w:tcPr>
          <w:p>
            <w:pPr>
              <w:spacing w:after="0"/>
              <w:jc w:val="center"/>
            </w:pPr>
            <w:r>
              <w:rPr>
                <w:rFonts w:ascii="Calibri" w:hAnsi="Calibri"/>
                <w:b/>
                <w:color w:val="FFFFFF"/>
                <w:sz w:val="38"/>
              </w:rPr>
              <w:t>85%</w:t>
            </w:r>
          </w:p>
        </w:tc>
        <w:tc>
          <w:tcPr>
            <w:tcW w:type="dxa" w:w="2340"/>
            <w:tcMar>
              <w:top w:w="80" w:type="dxa"/>
              <w:bottom w:w="80" w:type="dxa"/>
              <w:start w:w="120" w:type="dxa"/>
              <w:end w:w="120" w:type="dxa"/>
            </w:tcMar>
            <w:vAlign w:val="center"/>
            <w:shd w:fill="0B2545"/>
          </w:tcPr>
          <w:p>
            <w:pPr>
              <w:spacing w:after="0"/>
              <w:jc w:val="center"/>
            </w:pPr>
            <w:r>
              <w:rPr>
                <w:rFonts w:ascii="Calibri" w:hAnsi="Calibri"/>
                <w:b/>
                <w:color w:val="FFFFFF"/>
                <w:sz w:val="38"/>
              </w:rPr>
              <w:t>3.5×</w:t>
            </w:r>
          </w:p>
        </w:tc>
        <w:tc>
          <w:tcPr>
            <w:tcW w:type="dxa" w:w="2340"/>
            <w:tcMar>
              <w:top w:w="80" w:type="dxa"/>
              <w:bottom w:w="80" w:type="dxa"/>
              <w:start w:w="120" w:type="dxa"/>
              <w:end w:w="120" w:type="dxa"/>
            </w:tcMar>
            <w:vAlign w:val="center"/>
            <w:shd w:fill="0B2545"/>
          </w:tcPr>
          <w:p>
            <w:pPr>
              <w:spacing w:after="0"/>
              <w:jc w:val="center"/>
            </w:pPr>
            <w:r>
              <w:rPr>
                <w:rFonts w:ascii="Calibri" w:hAnsi="Calibri"/>
                <w:b/>
                <w:color w:val="FFFFFF"/>
                <w:sz w:val="38"/>
              </w:rPr>
              <w:t>100%</w:t>
            </w:r>
          </w:p>
        </w:tc>
        <w:tc>
          <w:tcPr>
            <w:tcW w:type="dxa" w:w="2340"/>
            <w:tcMar>
              <w:top w:w="80" w:type="dxa"/>
              <w:bottom w:w="80" w:type="dxa"/>
              <w:start w:w="120" w:type="dxa"/>
              <w:end w:w="120" w:type="dxa"/>
            </w:tcMar>
            <w:vAlign w:val="center"/>
            <w:shd w:fill="0B2545"/>
          </w:tcPr>
          <w:p>
            <w:pPr>
              <w:spacing w:after="0"/>
              <w:jc w:val="center"/>
            </w:pPr>
            <w:r>
              <w:rPr>
                <w:rFonts w:ascii="Calibri" w:hAnsi="Calibri"/>
                <w:b/>
                <w:color w:val="FFFFFF"/>
                <w:sz w:val="38"/>
              </w:rPr>
              <w:t>$0</w:t>
            </w:r>
          </w:p>
        </w:tc>
      </w:tr>
      <w:tr>
        <w:tc>
          <w:tcPr>
            <w:tcW w:type="dxa" w:w="2340"/>
            <w:tcMar>
              <w:top w:w="80" w:type="dxa"/>
              <w:bottom w:w="80" w:type="dxa"/>
              <w:start w:w="120" w:type="dxa"/>
              <w:end w:w="120" w:type="dxa"/>
            </w:tcMar>
            <w:vAlign w:val="center"/>
            <w:shd w:fill="E8EEF5"/>
          </w:tcPr>
          <w:p>
            <w:pPr>
              <w:spacing w:before="20" w:after="20"/>
              <w:jc w:val="center"/>
            </w:pPr>
            <w:r>
              <w:rPr>
                <w:rFonts w:ascii="Calibri" w:hAnsi="Calibri"/>
                <w:b/>
                <w:color w:val="0B2545"/>
                <w:sz w:val="18"/>
              </w:rPr>
              <w:t>smaller bundle</w:t>
            </w:r>
          </w:p>
        </w:tc>
        <w:tc>
          <w:tcPr>
            <w:tcW w:type="dxa" w:w="2340"/>
            <w:tcMar>
              <w:top w:w="80" w:type="dxa"/>
              <w:bottom w:w="80" w:type="dxa"/>
              <w:start w:w="120" w:type="dxa"/>
              <w:end w:w="120" w:type="dxa"/>
            </w:tcMar>
            <w:vAlign w:val="center"/>
            <w:shd w:fill="E8EEF5"/>
          </w:tcPr>
          <w:p>
            <w:pPr>
              <w:spacing w:before="20" w:after="20"/>
              <w:jc w:val="center"/>
            </w:pPr>
            <w:r>
              <w:rPr>
                <w:rFonts w:ascii="Calibri" w:hAnsi="Calibri"/>
                <w:b/>
                <w:color w:val="0B2545"/>
                <w:sz w:val="18"/>
              </w:rPr>
              <w:t>faster cold request</w:t>
            </w:r>
          </w:p>
        </w:tc>
        <w:tc>
          <w:tcPr>
            <w:tcW w:type="dxa" w:w="2340"/>
            <w:tcMar>
              <w:top w:w="80" w:type="dxa"/>
              <w:bottom w:w="80" w:type="dxa"/>
              <w:start w:w="120" w:type="dxa"/>
              <w:end w:w="120" w:type="dxa"/>
            </w:tcMar>
            <w:vAlign w:val="center"/>
            <w:shd w:fill="E8EEF5"/>
          </w:tcPr>
          <w:p>
            <w:pPr>
              <w:spacing w:before="20" w:after="20"/>
              <w:jc w:val="center"/>
            </w:pPr>
            <w:r>
              <w:rPr>
                <w:rFonts w:ascii="Calibri" w:hAnsi="Calibri"/>
                <w:b/>
                <w:color w:val="0B2545"/>
                <w:sz w:val="18"/>
              </w:rPr>
              <w:t>top-10 overlap</w:t>
            </w:r>
          </w:p>
        </w:tc>
        <w:tc>
          <w:tcPr>
            <w:tcW w:type="dxa" w:w="2340"/>
            <w:tcMar>
              <w:top w:w="80" w:type="dxa"/>
              <w:bottom w:w="80" w:type="dxa"/>
              <w:start w:w="120" w:type="dxa"/>
              <w:end w:w="120" w:type="dxa"/>
            </w:tcMar>
            <w:vAlign w:val="center"/>
            <w:shd w:fill="E8EEF5"/>
          </w:tcPr>
          <w:p>
            <w:pPr>
              <w:spacing w:before="20" w:after="20"/>
              <w:jc w:val="center"/>
            </w:pPr>
            <w:r>
              <w:rPr>
                <w:rFonts w:ascii="Calibri" w:hAnsi="Calibri"/>
                <w:b/>
                <w:color w:val="0B2545"/>
                <w:sz w:val="18"/>
              </w:rPr>
              <w:t>new vendor cost</w:t>
            </w:r>
          </w:p>
        </w:tc>
      </w:tr>
    </w:tbl>
    <w:p>
      <w:pPr>
        <w:spacing w:after="0"/>
      </w:pPr>
    </w:p>
    <w:tbl>
      <w:tblPr>
        <w:tblW w:type="dxa" w:w="9360"/>
        <w:jc w:val="left"/>
        <w:tblLayout w:type="fixed"/>
        <w:tblLook w:firstColumn="1" w:firstRow="1" w:lastColumn="0" w:lastRow="0" w:noHBand="0" w:noVBand="1" w:val="04A0"/>
        <w:tblInd w:w="120" w:type="dxa"/>
        <w:tblBorders>
          <w:top w:val="single" w:sz="8" w:space="0" w:color="2E74B5"/>
          <w:bottom w:val="single" w:sz="8" w:space="0" w:color="2E74B5"/>
          <w:insideH w:val="single" w:sz="8" w:space="0" w:color="2E74B5"/>
          <w:insideV w:val="single" w:sz="8" w:space="0" w:color="2E74B5"/>
        </w:tblBorders>
      </w:tblPr>
      <w:tblGrid>
        <w:gridCol w:w="9360"/>
      </w:tblGrid>
      <w:tr>
        <w:trPr>
          <w:tblHeader w:val="true"/>
        </w:trPr>
        <w:tc>
          <w:tcPr>
            <w:tcW w:type="dxa" w:w="9360"/>
            <w:tcMar>
              <w:top w:w="80" w:type="dxa"/>
              <w:bottom w:w="80" w:type="dxa"/>
              <w:start w:w="120" w:type="dxa"/>
              <w:end w:w="120" w:type="dxa"/>
            </w:tcMar>
            <w:vAlign w:val="center"/>
            <w:shd w:fill="E8EEF5"/>
          </w:tcPr>
          <w:p>
            <w:pPr>
              <w:spacing w:before="40" w:after="40" w:line="283" w:lineRule="auto"/>
              <w:jc w:val="left"/>
            </w:pPr>
            <w:r>
              <w:rPr>
                <w:rFonts w:ascii="Calibri" w:hAnsi="Calibri"/>
                <w:b/>
                <w:color w:val="1F4D78"/>
                <w:sz w:val="19"/>
              </w:rPr>
              <w:t xml:space="preserve">CORE CONSTRAINT  </w:t>
            </w:r>
            <w:r>
              <w:rPr>
                <w:rFonts w:ascii="Calibri" w:hAnsi="Calibri"/>
                <w:color w:val="202936"/>
                <w:sz w:val="21"/>
              </w:rPr>
              <w:t>Optimize infrastructure without weakening evidence quality. The existing 47,698-vector index had to remain valid, and research answers had to retain the same grounded output.</w:t>
            </w:r>
          </w:p>
        </w:tc>
      </w:tr>
    </w:tbl>
    <w:p>
      <w:pPr>
        <w:spacing w:before="0" w:after="80"/>
      </w:pPr>
    </w:p>
    <w:p>
      <w:pPr>
        <w:pStyle w:val="Heading2"/>
        <w:keepNext/>
      </w:pPr>
      <w:r>
        <w:t>Product context</w:t>
      </w:r>
    </w:p>
    <w:p>
      <w:r>
        <w:rPr>
          <w:rFonts w:ascii="Calibri" w:hAnsi="Calibri"/>
          <w:i w:val="0"/>
          <w:color w:val="202936"/>
          <w:sz w:val="22"/>
        </w:rPr>
        <w:t>The API powers an auto-research workflow inside a sensory R&amp;D platform. It retrieves relevant passages from an indexed research corpus, synthesizes evidence-backed formulation guidance, and returns citations, diagnostics, recommendations, bench plans, and decision boundaries. Because the output can influence product development work, faster infrastructure could not come at the expense of retrieval integrity.</w:t>
      </w:r>
    </w:p>
    <w:p>
      <w:pPr>
        <w:pStyle w:val="Heading2"/>
        <w:keepNext/>
      </w:pPr>
      <w:r>
        <w:t>My role and scope</w:t>
      </w:r>
    </w:p>
    <w:p>
      <w:pPr>
        <w:numPr>
          <w:ilvl w:val="0"/>
          <w:numId w:val="10"/>
        </w:numPr>
      </w:pPr>
      <w:r>
        <w:rPr>
          <w:rFonts w:ascii="Calibri" w:hAnsi="Calibri"/>
          <w:b/>
          <w:color w:val="202936"/>
          <w:sz w:val="22"/>
        </w:rPr>
        <w:t>Designed</w:t>
      </w:r>
      <w:r>
        <w:rPr>
          <w:rFonts w:ascii="Calibri" w:hAnsi="Calibri"/>
          <w:color w:val="202936"/>
          <w:sz w:val="22"/>
        </w:rPr>
        <w:t xml:space="preserve"> the new embedding runtime and compatibility strategy.</w:t>
      </w:r>
    </w:p>
    <w:p>
      <w:pPr>
        <w:numPr>
          <w:ilvl w:val="0"/>
          <w:numId w:val="10"/>
        </w:numPr>
      </w:pPr>
      <w:r>
        <w:rPr>
          <w:rFonts w:ascii="Calibri" w:hAnsi="Calibri"/>
          <w:b/>
          <w:color w:val="202936"/>
          <w:sz w:val="22"/>
        </w:rPr>
        <w:t>Packaged</w:t>
      </w:r>
      <w:r>
        <w:rPr>
          <w:rFonts w:ascii="Calibri" w:hAnsi="Calibri"/>
          <w:color w:val="202936"/>
          <w:sz w:val="22"/>
        </w:rPr>
        <w:t xml:space="preserve"> and verified the model and tokenizer for deterministic deployment.</w:t>
      </w:r>
    </w:p>
    <w:p>
      <w:pPr>
        <w:numPr>
          <w:ilvl w:val="0"/>
          <w:numId w:val="10"/>
        </w:numPr>
      </w:pPr>
      <w:r>
        <w:rPr>
          <w:rFonts w:ascii="Calibri" w:hAnsi="Calibri"/>
          <w:b/>
          <w:color w:val="202936"/>
          <w:sz w:val="22"/>
        </w:rPr>
        <w:t>Built</w:t>
      </w:r>
      <w:r>
        <w:rPr>
          <w:rFonts w:ascii="Calibri" w:hAnsi="Calibri"/>
          <w:color w:val="202936"/>
          <w:sz w:val="22"/>
        </w:rPr>
        <w:t xml:space="preserve"> parity benchmarks and regression tests before switching production dependencies.</w:t>
      </w:r>
    </w:p>
    <w:p>
      <w:pPr>
        <w:numPr>
          <w:ilvl w:val="0"/>
          <w:numId w:val="10"/>
        </w:numPr>
      </w:pPr>
      <w:r>
        <w:rPr>
          <w:rFonts w:ascii="Calibri" w:hAnsi="Calibri"/>
          <w:b/>
          <w:color w:val="202936"/>
          <w:sz w:val="22"/>
        </w:rPr>
        <w:t>Updated</w:t>
      </w:r>
      <w:r>
        <w:rPr>
          <w:rFonts w:ascii="Calibri" w:hAnsi="Calibri"/>
          <w:color w:val="202936"/>
          <w:sz w:val="22"/>
        </w:rPr>
        <w:t xml:space="preserve"> observability, CI/security configuration, Docker packaging, and release documentation.</w:t>
      </w:r>
    </w:p>
    <w:p>
      <w:pPr>
        <w:numPr>
          <w:ilvl w:val="0"/>
          <w:numId w:val="10"/>
        </w:numPr>
      </w:pPr>
      <w:r>
        <w:rPr>
          <w:rFonts w:ascii="Calibri" w:hAnsi="Calibri"/>
          <w:b/>
          <w:color w:val="202936"/>
          <w:sz w:val="22"/>
        </w:rPr>
        <w:t>Validated</w:t>
      </w:r>
      <w:r>
        <w:rPr>
          <w:rFonts w:ascii="Calibri" w:hAnsi="Calibri"/>
          <w:color w:val="202936"/>
          <w:sz w:val="22"/>
        </w:rPr>
        <w:t xml:space="preserve"> cold and warm behavior against the live production-scale database.</w:t>
      </w:r>
    </w:p>
    <w:p>
      <w:r>
        <w:br w:type="page"/>
      </w:r>
    </w:p>
    <w:p>
      <w:pPr>
        <w:spacing w:before="0" w:after="120"/>
        <w:jc w:val="left"/>
      </w:pPr>
      <w:r>
        <w:rPr>
          <w:rFonts w:ascii="Calibri" w:hAnsi="Calibri"/>
          <w:b/>
          <w:color w:val="B17818"/>
          <w:sz w:val="19"/>
        </w:rPr>
        <w:t>CHALLENGE</w:t>
      </w:r>
    </w:p>
    <w:p>
      <w:pPr>
        <w:pStyle w:val="Heading1"/>
        <w:keepNext/>
      </w:pPr>
      <w:r>
        <w:t>A working AI system with an expensive runtime shape</w:t>
      </w:r>
    </w:p>
    <w:p>
      <w:r>
        <w:rPr>
          <w:rFonts w:ascii="Calibri" w:hAnsi="Calibri"/>
          <w:i w:val="0"/>
          <w:color w:val="202936"/>
          <w:sz w:val="22"/>
        </w:rPr>
        <w:t>The research engine was functionally sound, but the embedding implementation pulled sentence-transformers and PyTorch into the production serverless bundle. That made the deployment unusually large, slowed builds, increased cold-start pressure, and complicated security maintenance through a much larger transitive dependency tree.</w:t>
      </w:r>
    </w:p>
    <w:p>
      <w:pPr>
        <w:pStyle w:val="Heading2"/>
        <w:keepNext/>
      </w:pPr>
      <w:r>
        <w:t>The engineering constraints</w:t>
      </w:r>
    </w:p>
    <w:p>
      <w:pPr>
        <w:numPr>
          <w:ilvl w:val="0"/>
          <w:numId w:val="10"/>
        </w:numPr>
      </w:pPr>
      <w:r>
        <w:rPr>
          <w:rFonts w:ascii="Calibri" w:hAnsi="Calibri"/>
          <w:b/>
          <w:color w:val="202936"/>
          <w:sz w:val="22"/>
        </w:rPr>
        <w:t>Preserve the model.</w:t>
      </w:r>
      <w:r>
        <w:rPr>
          <w:rFonts w:ascii="Calibri" w:hAnsi="Calibri"/>
          <w:color w:val="202936"/>
          <w:sz w:val="22"/>
        </w:rPr>
        <w:t xml:space="preserve"> The system had to continue using sentence-transformers/all-MiniLM-L6-v2.</w:t>
      </w:r>
    </w:p>
    <w:p>
      <w:pPr>
        <w:numPr>
          <w:ilvl w:val="0"/>
          <w:numId w:val="10"/>
        </w:numPr>
      </w:pPr>
      <w:r>
        <w:rPr>
          <w:rFonts w:ascii="Calibri" w:hAnsi="Calibri"/>
          <w:b/>
          <w:color w:val="202936"/>
          <w:sz w:val="22"/>
        </w:rPr>
        <w:t>Preserve the index.</w:t>
      </w:r>
      <w:r>
        <w:rPr>
          <w:rFonts w:ascii="Calibri" w:hAnsi="Calibri"/>
          <w:color w:val="202936"/>
          <w:sz w:val="22"/>
        </w:rPr>
        <w:t xml:space="preserve"> All existing 384-dimensional vectors had to remain usable without re-embedding 47,698 chunks.</w:t>
      </w:r>
    </w:p>
    <w:p>
      <w:pPr>
        <w:numPr>
          <w:ilvl w:val="0"/>
          <w:numId w:val="10"/>
        </w:numPr>
      </w:pPr>
      <w:r>
        <w:rPr>
          <w:rFonts w:ascii="Calibri" w:hAnsi="Calibri"/>
          <w:b/>
          <w:color w:val="202936"/>
          <w:sz w:val="22"/>
        </w:rPr>
        <w:t>Preserve rankings.</w:t>
      </w:r>
      <w:r>
        <w:rPr>
          <w:rFonts w:ascii="Calibri" w:hAnsi="Calibri"/>
          <w:color w:val="202936"/>
          <w:sz w:val="22"/>
        </w:rPr>
        <w:t xml:space="preserve"> Search results could not drift simply because the runtime changed.</w:t>
      </w:r>
    </w:p>
    <w:p>
      <w:pPr>
        <w:numPr>
          <w:ilvl w:val="0"/>
          <w:numId w:val="10"/>
        </w:numPr>
      </w:pPr>
      <w:r>
        <w:rPr>
          <w:rFonts w:ascii="Calibri" w:hAnsi="Calibri"/>
          <w:b/>
          <w:color w:val="202936"/>
          <w:sz w:val="22"/>
        </w:rPr>
        <w:t>Preserve product behavior.</w:t>
      </w:r>
      <w:r>
        <w:rPr>
          <w:rFonts w:ascii="Calibri" w:hAnsi="Calibri"/>
          <w:color w:val="202936"/>
          <w:sz w:val="22"/>
        </w:rPr>
        <w:t xml:space="preserve"> Research summaries, recommendations, citations, evidence groups, and warnings had to remain stable.</w:t>
      </w:r>
    </w:p>
    <w:p>
      <w:pPr>
        <w:numPr>
          <w:ilvl w:val="0"/>
          <w:numId w:val="10"/>
        </w:numPr>
      </w:pPr>
      <w:r>
        <w:rPr>
          <w:rFonts w:ascii="Calibri" w:hAnsi="Calibri"/>
          <w:b/>
          <w:color w:val="202936"/>
          <w:sz w:val="22"/>
        </w:rPr>
        <w:t>Preserve security boundaries.</w:t>
      </w:r>
      <w:r>
        <w:rPr>
          <w:rFonts w:ascii="Calibri" w:hAnsi="Calibri"/>
          <w:color w:val="202936"/>
          <w:sz w:val="22"/>
        </w:rPr>
        <w:t xml:space="preserve"> Authentication, database behavior, and schema had to remain unchanged.</w:t>
      </w:r>
    </w:p>
    <w:p>
      <w:pPr>
        <w:numPr>
          <w:ilvl w:val="0"/>
          <w:numId w:val="10"/>
        </w:numPr>
      </w:pPr>
      <w:r>
        <w:rPr>
          <w:rFonts w:ascii="Calibri" w:hAnsi="Calibri"/>
          <w:b/>
          <w:color w:val="202936"/>
          <w:sz w:val="22"/>
        </w:rPr>
        <w:t>Avoid new variable cost.</w:t>
      </w:r>
      <w:r>
        <w:rPr>
          <w:rFonts w:ascii="Calibri" w:hAnsi="Calibri"/>
          <w:color w:val="202936"/>
          <w:sz w:val="22"/>
        </w:rPr>
        <w:t xml:space="preserve"> The solution could not introduce a paid embedding API or per-token dependency.</w:t>
      </w:r>
    </w:p>
    <w:p>
      <w:pPr>
        <w:pStyle w:val="Heading2"/>
        <w:keepNext/>
      </w:pPr>
      <w:r>
        <w:t>Success criteria</w:t>
      </w:r>
    </w:p>
    <w:p>
      <w:pPr>
        <w:numPr>
          <w:ilvl w:val="0"/>
          <w:numId w:val="11"/>
        </w:numPr>
      </w:pPr>
      <w:r>
        <w:rPr>
          <w:rFonts w:ascii="Calibri" w:hAnsi="Calibri"/>
          <w:color w:val="202936"/>
          <w:sz w:val="22"/>
        </w:rPr>
        <w:t>Prove numerical compatibility between the old and new embedding paths.</w:t>
      </w:r>
    </w:p>
    <w:p>
      <w:pPr>
        <w:numPr>
          <w:ilvl w:val="0"/>
          <w:numId w:val="11"/>
        </w:numPr>
      </w:pPr>
      <w:r>
        <w:rPr>
          <w:rFonts w:ascii="Calibri" w:hAnsi="Calibri"/>
          <w:color w:val="202936"/>
          <w:sz w:val="22"/>
        </w:rPr>
        <w:t>Prove retrieval-ranking compatibility on representative food R&amp;D queries.</w:t>
      </w:r>
    </w:p>
    <w:p>
      <w:pPr>
        <w:numPr>
          <w:ilvl w:val="0"/>
          <w:numId w:val="11"/>
        </w:numPr>
      </w:pPr>
      <w:r>
        <w:rPr>
          <w:rFonts w:ascii="Calibri" w:hAnsi="Calibri"/>
          <w:color w:val="202936"/>
          <w:sz w:val="22"/>
        </w:rPr>
        <w:t>Keep the full regression suite green and expose the active backend in telemetry.</w:t>
      </w:r>
    </w:p>
    <w:p>
      <w:pPr>
        <w:numPr>
          <w:ilvl w:val="0"/>
          <w:numId w:val="11"/>
        </w:numPr>
      </w:pPr>
      <w:r>
        <w:rPr>
          <w:rFonts w:ascii="Calibri" w:hAnsi="Calibri"/>
          <w:color w:val="202936"/>
          <w:sz w:val="22"/>
        </w:rPr>
        <w:t>Deploy, benchmark, and verify real RAG output against the production-scale corpus.</w:t>
      </w:r>
    </w:p>
    <w:tbl>
      <w:tblPr>
        <w:tblW w:type="dxa" w:w="9360"/>
        <w:jc w:val="left"/>
        <w:tblLayout w:type="fixed"/>
        <w:tblLook w:firstColumn="1" w:firstRow="1" w:lastColumn="0" w:lastRow="0" w:noHBand="0" w:noVBand="1" w:val="04A0"/>
        <w:tblInd w:w="120" w:type="dxa"/>
        <w:tblBorders>
          <w:top w:val="single" w:sz="8" w:space="0" w:color="B17818"/>
          <w:bottom w:val="single" w:sz="8" w:space="0" w:color="B17818"/>
          <w:insideH w:val="single" w:sz="8" w:space="0" w:color="B17818"/>
          <w:insideV w:val="single" w:sz="8" w:space="0" w:color="B17818"/>
        </w:tblBorders>
      </w:tblPr>
      <w:tblGrid>
        <w:gridCol w:w="9360"/>
      </w:tblGrid>
      <w:tr>
        <w:trPr>
          <w:tblHeader w:val="true"/>
        </w:trPr>
        <w:tc>
          <w:tcPr>
            <w:tcW w:type="dxa" w:w="9360"/>
            <w:tcMar>
              <w:top w:w="80" w:type="dxa"/>
              <w:bottom w:w="80" w:type="dxa"/>
              <w:start w:w="120" w:type="dxa"/>
              <w:end w:w="120" w:type="dxa"/>
            </w:tcMar>
            <w:vAlign w:val="center"/>
            <w:shd w:fill="FFF8E8"/>
          </w:tcPr>
          <w:p>
            <w:pPr>
              <w:spacing w:before="40" w:after="40" w:line="283" w:lineRule="auto"/>
              <w:jc w:val="left"/>
            </w:pPr>
            <w:r>
              <w:rPr>
                <w:rFonts w:ascii="Calibri" w:hAnsi="Calibri"/>
                <w:b/>
                <w:color w:val="1F4D78"/>
                <w:sz w:val="19"/>
              </w:rPr>
              <w:t xml:space="preserve">ENGINEERING PRINCIPLE  </w:t>
            </w:r>
            <w:r>
              <w:rPr>
                <w:rFonts w:ascii="Calibri" w:hAnsi="Calibri"/>
                <w:color w:val="202936"/>
                <w:sz w:val="21"/>
              </w:rPr>
              <w:t>The optimization was treated as a compatibility migration, not a model upgrade. Quality gates came before infrastructure savings.</w:t>
            </w:r>
          </w:p>
        </w:tc>
      </w:tr>
    </w:tbl>
    <w:p>
      <w:pPr>
        <w:spacing w:before="0" w:after="80"/>
      </w:pPr>
    </w:p>
    <w:p>
      <w:r>
        <w:br w:type="page"/>
      </w:r>
    </w:p>
    <w:p>
      <w:pPr>
        <w:spacing w:before="0" w:after="120"/>
        <w:jc w:val="left"/>
      </w:pPr>
      <w:r>
        <w:rPr>
          <w:rFonts w:ascii="Calibri" w:hAnsi="Calibri"/>
          <w:b/>
          <w:color w:val="B17818"/>
          <w:sz w:val="19"/>
        </w:rPr>
        <w:t>SOLUTION</w:t>
      </w:r>
    </w:p>
    <w:p>
      <w:pPr>
        <w:pStyle w:val="Heading1"/>
        <w:keepNext/>
      </w:pPr>
      <w:r>
        <w:t>A deterministic ONNX embedding pipeline</w:t>
      </w:r>
    </w:p>
    <w:tbl>
      <w:tblPr>
        <w:tblW w:type="dxa" w:w="9360"/>
        <w:tblLayout w:type="fixed"/>
        <w:tblLook w:firstColumn="1" w:firstRow="1" w:lastColumn="0" w:lastRow="0" w:noHBand="0" w:noVBand="1" w:val="04A0"/>
        <w:jc w:val="left"/>
        <w:tblInd w:w="120" w:type="dxa"/>
        <w:tblBorders>
          <w:top w:val="single" w:sz="6" w:space="0" w:color="CCD6E0"/>
          <w:bottom w:val="single" w:sz="6" w:space="0" w:color="CCD6E0"/>
          <w:insideH w:val="single" w:sz="6" w:space="0" w:color="CCD6E0"/>
          <w:insideV w:val="single" w:sz="6" w:space="0" w:color="CCD6E0"/>
        </w:tblBorders>
      </w:tblPr>
      <w:tblGrid>
        <w:gridCol w:w="4000"/>
        <w:gridCol w:w="1360"/>
        <w:gridCol w:w="4000"/>
      </w:tblGrid>
      <w:tr>
        <w:trPr>
          <w:tblHeader w:val="true"/>
        </w:trPr>
        <w:tc>
          <w:tcPr>
            <w:tcW w:type="dxa" w:w="4000"/>
            <w:tcMar>
              <w:top w:w="80" w:type="dxa"/>
              <w:bottom w:w="80" w:type="dxa"/>
              <w:start w:w="120" w:type="dxa"/>
              <w:end w:w="120" w:type="dxa"/>
            </w:tcMar>
            <w:vAlign w:val="center"/>
            <w:shd w:fill="0B2545"/>
          </w:tcPr>
          <w:p>
            <w:pPr>
              <w:spacing w:after="0"/>
              <w:jc w:val="center"/>
            </w:pPr>
            <w:r>
              <w:rPr>
                <w:rFonts w:ascii="Calibri" w:hAnsi="Calibri"/>
                <w:b/>
                <w:color w:val="FFFFFF"/>
                <w:sz w:val="19"/>
              </w:rPr>
              <w:t>Before: framework-heavy runtime</w:t>
            </w:r>
          </w:p>
        </w:tc>
        <w:tc>
          <w:tcPr>
            <w:tcW w:type="dxa" w:w="1360"/>
            <w:tcMar>
              <w:top w:w="80" w:type="dxa"/>
              <w:bottom w:w="80" w:type="dxa"/>
              <w:start w:w="120" w:type="dxa"/>
              <w:end w:w="120" w:type="dxa"/>
            </w:tcMar>
            <w:vAlign w:val="center"/>
            <w:shd w:fill="B17818"/>
          </w:tcPr>
          <w:p>
            <w:pPr>
              <w:spacing w:after="0"/>
              <w:jc w:val="center"/>
            </w:pPr>
            <w:r>
              <w:rPr>
                <w:rFonts w:ascii="Calibri" w:hAnsi="Calibri"/>
                <w:b/>
                <w:color w:val="FFFFFF"/>
                <w:sz w:val="19"/>
              </w:rPr>
              <w:t>Change</w:t>
            </w:r>
          </w:p>
        </w:tc>
        <w:tc>
          <w:tcPr>
            <w:tcW w:type="dxa" w:w="4000"/>
            <w:tcMar>
              <w:top w:w="80" w:type="dxa"/>
              <w:bottom w:w="80" w:type="dxa"/>
              <w:start w:w="120" w:type="dxa"/>
              <w:end w:w="120" w:type="dxa"/>
            </w:tcMar>
            <w:vAlign w:val="center"/>
            <w:shd w:fill="0B2545"/>
          </w:tcPr>
          <w:p>
            <w:pPr>
              <w:spacing w:after="0"/>
              <w:jc w:val="center"/>
            </w:pPr>
            <w:r>
              <w:rPr>
                <w:rFonts w:ascii="Calibri" w:hAnsi="Calibri"/>
                <w:b/>
                <w:color w:val="FFFFFF"/>
                <w:sz w:val="19"/>
              </w:rPr>
              <w:t>After: production ONNX runtime</w:t>
            </w:r>
          </w:p>
        </w:tc>
      </w:tr>
      <w:tr>
        <w:tc>
          <w:tcPr>
            <w:tcW w:type="dxa" w:w="4000"/>
            <w:tcMar>
              <w:top w:w="80" w:type="dxa"/>
              <w:bottom w:w="80" w:type="dxa"/>
              <w:start w:w="120" w:type="dxa"/>
              <w:end w:w="120" w:type="dxa"/>
            </w:tcMar>
            <w:vAlign w:val="center"/>
          </w:tcPr>
          <w:p>
            <w:pPr>
              <w:spacing w:after="20"/>
              <w:jc w:val="left"/>
            </w:pPr>
            <w:r>
              <w:rPr>
                <w:rFonts w:ascii="Calibri" w:hAnsi="Calibri"/>
                <w:b w:val="0"/>
                <w:color w:val="202936"/>
                <w:sz w:val="19"/>
              </w:rPr>
              <w:t>sentence-transformers + PyTorch</w:t>
            </w:r>
          </w:p>
        </w:tc>
        <w:tc>
          <w:tcPr>
            <w:tcW w:type="dxa" w:w="1360"/>
            <w:tcMar>
              <w:top w:w="80" w:type="dxa"/>
              <w:bottom w:w="80" w:type="dxa"/>
              <w:start w:w="120" w:type="dxa"/>
              <w:end w:w="120" w:type="dxa"/>
            </w:tcMar>
            <w:vAlign w:val="center"/>
          </w:tcPr>
          <w:p>
            <w:pPr>
              <w:spacing w:after="20"/>
              <w:jc w:val="center"/>
            </w:pPr>
            <w:r>
              <w:rPr>
                <w:rFonts w:ascii="Calibri" w:hAnsi="Calibri"/>
                <w:b/>
                <w:color w:val="B17818"/>
                <w:sz w:val="19"/>
              </w:rPr>
              <w:t>→</w:t>
            </w:r>
          </w:p>
        </w:tc>
        <w:tc>
          <w:tcPr>
            <w:tcW w:type="dxa" w:w="4000"/>
            <w:tcMar>
              <w:top w:w="80" w:type="dxa"/>
              <w:bottom w:w="80" w:type="dxa"/>
              <w:start w:w="120" w:type="dxa"/>
              <w:end w:w="120" w:type="dxa"/>
            </w:tcMar>
            <w:vAlign w:val="center"/>
          </w:tcPr>
          <w:p>
            <w:pPr>
              <w:spacing w:after="20"/>
              <w:jc w:val="left"/>
            </w:pPr>
            <w:r>
              <w:rPr>
                <w:rFonts w:ascii="Calibri" w:hAnsi="Calibri"/>
                <w:b w:val="0"/>
                <w:color w:val="202936"/>
                <w:sz w:val="19"/>
              </w:rPr>
              <w:t>ONNX Runtime, full precision</w:t>
            </w:r>
          </w:p>
        </w:tc>
      </w:tr>
      <w:tr>
        <w:tc>
          <w:tcPr>
            <w:tcW w:type="dxa" w:w="4000"/>
            <w:shd w:fill="F4F6F9"/>
            <w:tcMar>
              <w:top w:w="80" w:type="dxa"/>
              <w:bottom w:w="80" w:type="dxa"/>
              <w:start w:w="120" w:type="dxa"/>
              <w:end w:w="120" w:type="dxa"/>
            </w:tcMar>
            <w:vAlign w:val="center"/>
          </w:tcPr>
          <w:p>
            <w:pPr>
              <w:spacing w:after="20"/>
              <w:jc w:val="left"/>
            </w:pPr>
            <w:r>
              <w:rPr>
                <w:rFonts w:ascii="Calibri" w:hAnsi="Calibri"/>
                <w:b w:val="0"/>
                <w:color w:val="202936"/>
                <w:sz w:val="19"/>
              </w:rPr>
              <w:t>Runtime model download</w:t>
            </w:r>
          </w:p>
        </w:tc>
        <w:tc>
          <w:tcPr>
            <w:tcW w:type="dxa" w:w="1360"/>
            <w:shd w:fill="F4F6F9"/>
            <w:tcMar>
              <w:top w:w="80" w:type="dxa"/>
              <w:bottom w:w="80" w:type="dxa"/>
              <w:start w:w="120" w:type="dxa"/>
              <w:end w:w="120" w:type="dxa"/>
            </w:tcMar>
            <w:vAlign w:val="center"/>
          </w:tcPr>
          <w:p>
            <w:pPr>
              <w:spacing w:after="20"/>
              <w:jc w:val="center"/>
            </w:pPr>
            <w:r>
              <w:rPr>
                <w:rFonts w:ascii="Calibri" w:hAnsi="Calibri"/>
                <w:b/>
                <w:color w:val="B17818"/>
                <w:sz w:val="19"/>
              </w:rPr>
              <w:t>→</w:t>
            </w:r>
          </w:p>
        </w:tc>
        <w:tc>
          <w:tcPr>
            <w:tcW w:type="dxa" w:w="4000"/>
            <w:shd w:fill="F4F6F9"/>
            <w:tcMar>
              <w:top w:w="80" w:type="dxa"/>
              <w:bottom w:w="80" w:type="dxa"/>
              <w:start w:w="120" w:type="dxa"/>
              <w:end w:w="120" w:type="dxa"/>
            </w:tcMar>
            <w:vAlign w:val="center"/>
          </w:tcPr>
          <w:p>
            <w:pPr>
              <w:spacing w:after="20"/>
              <w:jc w:val="left"/>
            </w:pPr>
            <w:r>
              <w:rPr>
                <w:rFonts w:ascii="Calibri" w:hAnsi="Calibri"/>
                <w:b w:val="0"/>
                <w:color w:val="202936"/>
                <w:sz w:val="19"/>
              </w:rPr>
              <w:t>Pinned, packaged model + tokenizer</w:t>
            </w:r>
          </w:p>
        </w:tc>
      </w:tr>
      <w:tr>
        <w:tc>
          <w:tcPr>
            <w:tcW w:type="dxa" w:w="4000"/>
            <w:tcMar>
              <w:top w:w="80" w:type="dxa"/>
              <w:bottom w:w="80" w:type="dxa"/>
              <w:start w:w="120" w:type="dxa"/>
              <w:end w:w="120" w:type="dxa"/>
            </w:tcMar>
            <w:vAlign w:val="center"/>
          </w:tcPr>
          <w:p>
            <w:pPr>
              <w:spacing w:after="20"/>
              <w:jc w:val="left"/>
            </w:pPr>
            <w:r>
              <w:rPr>
                <w:rFonts w:ascii="Calibri" w:hAnsi="Calibri"/>
                <w:b w:val="0"/>
                <w:color w:val="202936"/>
                <w:sz w:val="19"/>
              </w:rPr>
              <w:t>Large transitive dependency graph</w:t>
            </w:r>
          </w:p>
        </w:tc>
        <w:tc>
          <w:tcPr>
            <w:tcW w:type="dxa" w:w="1360"/>
            <w:tcMar>
              <w:top w:w="80" w:type="dxa"/>
              <w:bottom w:w="80" w:type="dxa"/>
              <w:start w:w="120" w:type="dxa"/>
              <w:end w:w="120" w:type="dxa"/>
            </w:tcMar>
            <w:vAlign w:val="center"/>
          </w:tcPr>
          <w:p>
            <w:pPr>
              <w:spacing w:after="20"/>
              <w:jc w:val="center"/>
            </w:pPr>
            <w:r>
              <w:rPr>
                <w:rFonts w:ascii="Calibri" w:hAnsi="Calibri"/>
                <w:b/>
                <w:color w:val="B17818"/>
                <w:sz w:val="19"/>
              </w:rPr>
              <w:t>→</w:t>
            </w:r>
          </w:p>
        </w:tc>
        <w:tc>
          <w:tcPr>
            <w:tcW w:type="dxa" w:w="4000"/>
            <w:tcMar>
              <w:top w:w="80" w:type="dxa"/>
              <w:bottom w:w="80" w:type="dxa"/>
              <w:start w:w="120" w:type="dxa"/>
              <w:end w:w="120" w:type="dxa"/>
            </w:tcMar>
            <w:vAlign w:val="center"/>
          </w:tcPr>
          <w:p>
            <w:pPr>
              <w:spacing w:after="20"/>
              <w:jc w:val="left"/>
            </w:pPr>
            <w:r>
              <w:rPr>
                <w:rFonts w:ascii="Calibri" w:hAnsi="Calibri"/>
                <w:b w:val="0"/>
                <w:color w:val="202936"/>
                <w:sz w:val="19"/>
              </w:rPr>
              <w:t>Production-only minimal dependencies</w:t>
            </w:r>
          </w:p>
        </w:tc>
      </w:tr>
      <w:tr>
        <w:tc>
          <w:tcPr>
            <w:tcW w:type="dxa" w:w="4000"/>
            <w:shd w:fill="F4F6F9"/>
            <w:tcMar>
              <w:top w:w="80" w:type="dxa"/>
              <w:bottom w:w="80" w:type="dxa"/>
              <w:start w:w="120" w:type="dxa"/>
              <w:end w:w="120" w:type="dxa"/>
            </w:tcMar>
            <w:vAlign w:val="center"/>
          </w:tcPr>
          <w:p>
            <w:pPr>
              <w:spacing w:after="20"/>
              <w:jc w:val="left"/>
            </w:pPr>
            <w:r>
              <w:rPr>
                <w:rFonts w:ascii="Calibri" w:hAnsi="Calibri"/>
                <w:b w:val="0"/>
                <w:color w:val="202936"/>
                <w:sz w:val="19"/>
              </w:rPr>
              <w:t>Framework-provided pooling</w:t>
            </w:r>
          </w:p>
        </w:tc>
        <w:tc>
          <w:tcPr>
            <w:tcW w:type="dxa" w:w="1360"/>
            <w:shd w:fill="F4F6F9"/>
            <w:tcMar>
              <w:top w:w="80" w:type="dxa"/>
              <w:bottom w:w="80" w:type="dxa"/>
              <w:start w:w="120" w:type="dxa"/>
              <w:end w:w="120" w:type="dxa"/>
            </w:tcMar>
            <w:vAlign w:val="center"/>
          </w:tcPr>
          <w:p>
            <w:pPr>
              <w:spacing w:after="20"/>
              <w:jc w:val="center"/>
            </w:pPr>
            <w:r>
              <w:rPr>
                <w:rFonts w:ascii="Calibri" w:hAnsi="Calibri"/>
                <w:b/>
                <w:color w:val="B17818"/>
                <w:sz w:val="19"/>
              </w:rPr>
              <w:t>→</w:t>
            </w:r>
          </w:p>
        </w:tc>
        <w:tc>
          <w:tcPr>
            <w:tcW w:type="dxa" w:w="4000"/>
            <w:shd w:fill="F4F6F9"/>
            <w:tcMar>
              <w:top w:w="80" w:type="dxa"/>
              <w:bottom w:w="80" w:type="dxa"/>
              <w:start w:w="120" w:type="dxa"/>
              <w:end w:w="120" w:type="dxa"/>
            </w:tcMar>
            <w:vAlign w:val="center"/>
          </w:tcPr>
          <w:p>
            <w:pPr>
              <w:spacing w:after="20"/>
              <w:jc w:val="left"/>
            </w:pPr>
            <w:r>
              <w:rPr>
                <w:rFonts w:ascii="Calibri" w:hAnsi="Calibri"/>
                <w:b w:val="0"/>
                <w:color w:val="202936"/>
                <w:sz w:val="19"/>
              </w:rPr>
              <w:t>Explicit mean pooling + L2 normalization</w:t>
            </w:r>
          </w:p>
        </w:tc>
      </w:tr>
      <w:tr>
        <w:tc>
          <w:tcPr>
            <w:tcW w:type="dxa" w:w="4000"/>
            <w:tcMar>
              <w:top w:w="80" w:type="dxa"/>
              <w:bottom w:w="80" w:type="dxa"/>
              <w:start w:w="120" w:type="dxa"/>
              <w:end w:w="120" w:type="dxa"/>
            </w:tcMar>
            <w:vAlign w:val="center"/>
          </w:tcPr>
          <w:p>
            <w:pPr>
              <w:spacing w:after="20"/>
              <w:jc w:val="left"/>
            </w:pPr>
            <w:r>
              <w:rPr>
                <w:rFonts w:ascii="Calibri" w:hAnsi="Calibri"/>
                <w:b w:val="0"/>
                <w:color w:val="202936"/>
                <w:sz w:val="19"/>
              </w:rPr>
              <w:t>Backend inferred indirectly</w:t>
            </w:r>
          </w:p>
        </w:tc>
        <w:tc>
          <w:tcPr>
            <w:tcW w:type="dxa" w:w="1360"/>
            <w:tcMar>
              <w:top w:w="80" w:type="dxa"/>
              <w:bottom w:w="80" w:type="dxa"/>
              <w:start w:w="120" w:type="dxa"/>
              <w:end w:w="120" w:type="dxa"/>
            </w:tcMar>
            <w:vAlign w:val="center"/>
          </w:tcPr>
          <w:p>
            <w:pPr>
              <w:spacing w:after="20"/>
              <w:jc w:val="center"/>
            </w:pPr>
            <w:r>
              <w:rPr>
                <w:rFonts w:ascii="Calibri" w:hAnsi="Calibri"/>
                <w:b/>
                <w:color w:val="B17818"/>
                <w:sz w:val="19"/>
              </w:rPr>
              <w:t>→</w:t>
            </w:r>
          </w:p>
        </w:tc>
        <w:tc>
          <w:tcPr>
            <w:tcW w:type="dxa" w:w="4000"/>
            <w:tcMar>
              <w:top w:w="80" w:type="dxa"/>
              <w:bottom w:w="80" w:type="dxa"/>
              <w:start w:w="120" w:type="dxa"/>
              <w:end w:w="120" w:type="dxa"/>
            </w:tcMar>
            <w:vAlign w:val="center"/>
          </w:tcPr>
          <w:p>
            <w:pPr>
              <w:spacing w:after="20"/>
              <w:jc w:val="left"/>
            </w:pPr>
            <w:r>
              <w:rPr>
                <w:rFonts w:ascii="Calibri" w:hAnsi="Calibri"/>
                <w:b w:val="0"/>
                <w:color w:val="202936"/>
                <w:sz w:val="19"/>
              </w:rPr>
              <w:t>Backend/model exposed in status telemetry</w:t>
            </w:r>
          </w:p>
        </w:tc>
      </w:tr>
    </w:tbl>
    <w:p>
      <w:pPr>
        <w:spacing w:after="0"/>
      </w:pPr>
    </w:p>
    <w:p>
      <w:pPr>
        <w:pStyle w:val="Heading2"/>
        <w:keepNext/>
      </w:pPr>
      <w:r>
        <w:t>What changed technically</w:t>
      </w:r>
    </w:p>
    <w:p>
      <w:r>
        <w:rPr>
          <w:rFonts w:ascii="Calibri" w:hAnsi="Calibri"/>
          <w:i w:val="0"/>
          <w:color w:val="202936"/>
          <w:sz w:val="22"/>
        </w:rPr>
        <w:t>The optimized path runs the same MiniLM transformer as an O2-optimized, full-precision ONNX model. I implemented the sentence-transformers behavior explicitly: tokenize inputs, run ONNX inference, apply attention-mask-aware mean pooling, and L2-normalize the resulting vectors. This preserved the exact 384-dimensional vector space used by the existing index.</w:t>
      </w:r>
    </w:p>
    <w:p>
      <w:pPr>
        <w:numPr>
          <w:ilvl w:val="0"/>
          <w:numId w:val="10"/>
        </w:numPr>
      </w:pPr>
      <w:r>
        <w:rPr>
          <w:rFonts w:ascii="Calibri" w:hAnsi="Calibri"/>
          <w:b/>
          <w:color w:val="202936"/>
          <w:sz w:val="22"/>
        </w:rPr>
        <w:t>Pinned model revision:</w:t>
      </w:r>
      <w:r>
        <w:rPr>
          <w:rFonts w:ascii="Calibri" w:hAnsi="Calibri"/>
          <w:color w:val="202936"/>
          <w:sz w:val="22"/>
        </w:rPr>
        <w:t xml:space="preserve"> 1110a243fdf4706b3f48f1d95db1a4f5529b4d41.</w:t>
      </w:r>
    </w:p>
    <w:p>
      <w:pPr>
        <w:numPr>
          <w:ilvl w:val="0"/>
          <w:numId w:val="10"/>
        </w:numPr>
      </w:pPr>
      <w:r>
        <w:rPr>
          <w:rFonts w:ascii="Calibri" w:hAnsi="Calibri"/>
          <w:b/>
          <w:color w:val="202936"/>
          <w:sz w:val="22"/>
        </w:rPr>
        <w:t>Model provenance:</w:t>
      </w:r>
      <w:r>
        <w:rPr>
          <w:rFonts w:ascii="Calibri" w:hAnsi="Calibri"/>
          <w:color w:val="202936"/>
          <w:sz w:val="22"/>
        </w:rPr>
        <w:t xml:space="preserve"> packaged model and tokenizer validated by SHA-256 before load.</w:t>
      </w:r>
    </w:p>
    <w:p>
      <w:pPr>
        <w:numPr>
          <w:ilvl w:val="0"/>
          <w:numId w:val="10"/>
        </w:numPr>
      </w:pPr>
      <w:r>
        <w:rPr>
          <w:rFonts w:ascii="Calibri" w:hAnsi="Calibri"/>
          <w:b/>
          <w:color w:val="202936"/>
          <w:sz w:val="22"/>
        </w:rPr>
        <w:t>Production dependencies:</w:t>
      </w:r>
      <w:r>
        <w:rPr>
          <w:rFonts w:ascii="Calibri" w:hAnsi="Calibri"/>
          <w:color w:val="202936"/>
          <w:sz w:val="22"/>
        </w:rPr>
        <w:t xml:space="preserve"> PyTorch and sentence-transformers removed from the default runtime.</w:t>
      </w:r>
    </w:p>
    <w:p>
      <w:pPr>
        <w:numPr>
          <w:ilvl w:val="0"/>
          <w:numId w:val="10"/>
        </w:numPr>
      </w:pPr>
      <w:r>
        <w:rPr>
          <w:rFonts w:ascii="Calibri" w:hAnsi="Calibri"/>
          <w:b/>
          <w:color w:val="202936"/>
          <w:sz w:val="22"/>
        </w:rPr>
        <w:t>Rollback path:</w:t>
      </w:r>
      <w:r>
        <w:rPr>
          <w:rFonts w:ascii="Calibri" w:hAnsi="Calibri"/>
          <w:color w:val="202936"/>
          <w:sz w:val="22"/>
        </w:rPr>
        <w:t xml:space="preserve"> the original PyTorch backend retained as an optional installation extra.</w:t>
      </w:r>
    </w:p>
    <w:p>
      <w:pPr>
        <w:numPr>
          <w:ilvl w:val="0"/>
          <w:numId w:val="10"/>
        </w:numPr>
      </w:pPr>
      <w:r>
        <w:rPr>
          <w:rFonts w:ascii="Calibri" w:hAnsi="Calibri"/>
          <w:b/>
          <w:color w:val="202936"/>
          <w:sz w:val="22"/>
        </w:rPr>
        <w:t>Observability:</w:t>
      </w:r>
      <w:r>
        <w:rPr>
          <w:rFonts w:ascii="Calibri" w:hAnsi="Calibri"/>
          <w:color w:val="202936"/>
          <w:sz w:val="22"/>
        </w:rPr>
        <w:t xml:space="preserve"> model-load duration, batch duration, batch size, backend, and model identity exposed.</w:t>
      </w:r>
    </w:p>
    <w:p>
      <w:pPr>
        <w:pStyle w:val="Heading2"/>
        <w:keepNext/>
      </w:pPr>
      <w:r>
        <w:t>Why full precision won</w:t>
      </w:r>
    </w:p>
    <w:p>
      <w:r>
        <w:rPr>
          <w:rFonts w:ascii="Calibri" w:hAnsi="Calibri"/>
          <w:i w:val="0"/>
          <w:color w:val="202936"/>
          <w:sz w:val="22"/>
        </w:rPr>
        <w:t>I also tested arm64 and AVX2 int8 quantized variants. They were smaller, but their minimum cosine similarity dropped to roughly 0.987 and top-10 retrieval overlap fell as low as 80%. That was outside the acceptance gates, so I rejected quantization. The selected full-precision ONNX build delivered the infrastructure savings while preserving the evidence chain.</w:t>
      </w:r>
    </w:p>
    <w:p>
      <w:r>
        <w:br w:type="page"/>
      </w:r>
    </w:p>
    <w:p>
      <w:pPr>
        <w:spacing w:before="0" w:after="120"/>
        <w:jc w:val="left"/>
      </w:pPr>
      <w:r>
        <w:rPr>
          <w:rFonts w:ascii="Calibri" w:hAnsi="Calibri"/>
          <w:b/>
          <w:color w:val="B17818"/>
          <w:sz w:val="19"/>
        </w:rPr>
        <w:t>VERIFICATION</w:t>
      </w:r>
    </w:p>
    <w:p>
      <w:pPr>
        <w:pStyle w:val="Heading1"/>
        <w:keepNext/>
      </w:pPr>
      <w:r>
        <w:t>Compatibility was measured, not assumed</w:t>
      </w:r>
    </w:p>
    <w:p>
      <w:r>
        <w:rPr>
          <w:rFonts w:ascii="Calibri" w:hAnsi="Calibri"/>
          <w:i w:val="0"/>
          <w:color w:val="202936"/>
          <w:sz w:val="22"/>
        </w:rPr>
        <w:t>A dedicated benchmark compared the original sentence-transformers implementation with the ONNX implementation across representative queries and corpus passages. The test examined both vector similarity and the downstream ranking behavior that users actually experience.</w:t>
      </w:r>
    </w:p>
    <w:tbl>
      <w:tblPr>
        <w:tblW w:type="dxa" w:w="9360"/>
        <w:tblLayout w:type="fixed"/>
        <w:tblLook w:firstColumn="1" w:firstRow="1" w:lastColumn="0" w:lastRow="0" w:noHBand="0" w:noVBand="1" w:val="04A0"/>
        <w:jc w:val="left"/>
        <w:tblInd w:w="120" w:type="dxa"/>
        <w:tblBorders>
          <w:top w:val="single" w:sz="6" w:space="0" w:color="CCD6E0"/>
          <w:bottom w:val="single" w:sz="6" w:space="0" w:color="CCD6E0"/>
          <w:insideH w:val="single" w:sz="6" w:space="0" w:color="CCD6E0"/>
          <w:insideV w:val="single" w:sz="6" w:space="0" w:color="CCD6E0"/>
        </w:tblBorders>
      </w:tblPr>
      <w:tblGrid>
        <w:gridCol w:w="3100"/>
        <w:gridCol w:w="2200"/>
        <w:gridCol w:w="4060"/>
      </w:tblGrid>
      <w:tr>
        <w:trPr>
          <w:tblHeader w:val="true"/>
        </w:trPr>
        <w:tc>
          <w:tcPr>
            <w:tcW w:type="dxa" w:w="3100"/>
            <w:tcMar>
              <w:top w:w="80" w:type="dxa"/>
              <w:bottom w:w="80" w:type="dxa"/>
              <w:start w:w="120" w:type="dxa"/>
              <w:end w:w="120" w:type="dxa"/>
            </w:tcMar>
            <w:vAlign w:val="center"/>
            <w:shd w:fill="1F4D78"/>
          </w:tcPr>
          <w:p>
            <w:pPr>
              <w:spacing w:after="0"/>
              <w:jc w:val="left"/>
            </w:pPr>
            <w:r>
              <w:rPr>
                <w:rFonts w:ascii="Calibri" w:hAnsi="Calibri"/>
                <w:b/>
                <w:color w:val="FFFFFF"/>
                <w:sz w:val="19"/>
              </w:rPr>
              <w:t>Quality gate</w:t>
            </w:r>
          </w:p>
        </w:tc>
        <w:tc>
          <w:tcPr>
            <w:tcW w:type="dxa" w:w="2200"/>
            <w:tcMar>
              <w:top w:w="80" w:type="dxa"/>
              <w:bottom w:w="80" w:type="dxa"/>
              <w:start w:w="120" w:type="dxa"/>
              <w:end w:w="120" w:type="dxa"/>
            </w:tcMar>
            <w:vAlign w:val="center"/>
            <w:shd w:fill="1F4D78"/>
          </w:tcPr>
          <w:p>
            <w:pPr>
              <w:spacing w:after="0"/>
              <w:jc w:val="center"/>
            </w:pPr>
            <w:r>
              <w:rPr>
                <w:rFonts w:ascii="Calibri" w:hAnsi="Calibri"/>
                <w:b/>
                <w:color w:val="FFFFFF"/>
                <w:sz w:val="19"/>
              </w:rPr>
              <w:t>Observed result</w:t>
            </w:r>
          </w:p>
        </w:tc>
        <w:tc>
          <w:tcPr>
            <w:tcW w:type="dxa" w:w="4060"/>
            <w:tcMar>
              <w:top w:w="80" w:type="dxa"/>
              <w:bottom w:w="80" w:type="dxa"/>
              <w:start w:w="120" w:type="dxa"/>
              <w:end w:w="120" w:type="dxa"/>
            </w:tcMar>
            <w:vAlign w:val="center"/>
            <w:shd w:fill="1F4D78"/>
          </w:tcPr>
          <w:p>
            <w:pPr>
              <w:spacing w:after="0"/>
              <w:jc w:val="left"/>
            </w:pPr>
            <w:r>
              <w:rPr>
                <w:rFonts w:ascii="Calibri" w:hAnsi="Calibri"/>
                <w:b/>
                <w:color w:val="FFFFFF"/>
                <w:sz w:val="19"/>
              </w:rPr>
              <w:t>Interpretation</w:t>
            </w:r>
          </w:p>
        </w:tc>
      </w:tr>
      <w:tr>
        <w:tc>
          <w:tcPr>
            <w:tcW w:type="dxa" w:w="3100"/>
            <w:tcMar>
              <w:top w:w="80" w:type="dxa"/>
              <w:bottom w:w="80" w:type="dxa"/>
              <w:start w:w="120" w:type="dxa"/>
              <w:end w:w="120" w:type="dxa"/>
            </w:tcMar>
            <w:vAlign w:val="center"/>
          </w:tcPr>
          <w:p>
            <w:pPr>
              <w:spacing w:after="20"/>
              <w:jc w:val="left"/>
            </w:pPr>
            <w:r>
              <w:rPr>
                <w:rFonts w:ascii="Calibri" w:hAnsi="Calibri"/>
                <w:b/>
                <w:color w:val="202936"/>
                <w:sz w:val="18"/>
              </w:rPr>
              <w:t>Representative query set</w:t>
            </w:r>
          </w:p>
        </w:tc>
        <w:tc>
          <w:tcPr>
            <w:tcW w:type="dxa" w:w="2200"/>
            <w:tcMar>
              <w:top w:w="80" w:type="dxa"/>
              <w:bottom w:w="80" w:type="dxa"/>
              <w:start w:w="120" w:type="dxa"/>
              <w:end w:w="120" w:type="dxa"/>
            </w:tcMar>
            <w:vAlign w:val="center"/>
          </w:tcPr>
          <w:p>
            <w:pPr>
              <w:spacing w:after="20"/>
              <w:jc w:val="center"/>
            </w:pPr>
            <w:r>
              <w:rPr>
                <w:rFonts w:ascii="Calibri" w:hAnsi="Calibri"/>
                <w:b w:val="0"/>
                <w:color w:val="202936"/>
                <w:sz w:val="18"/>
              </w:rPr>
              <w:t>25 food R&amp;D queries</w:t>
            </w:r>
          </w:p>
        </w:tc>
        <w:tc>
          <w:tcPr>
            <w:tcW w:type="dxa" w:w="4060"/>
            <w:tcMar>
              <w:top w:w="80" w:type="dxa"/>
              <w:bottom w:w="80" w:type="dxa"/>
              <w:start w:w="120" w:type="dxa"/>
              <w:end w:w="120" w:type="dxa"/>
            </w:tcMar>
            <w:vAlign w:val="center"/>
          </w:tcPr>
          <w:p>
            <w:pPr>
              <w:spacing w:after="20"/>
              <w:jc w:val="left"/>
            </w:pPr>
            <w:r>
              <w:rPr>
                <w:rFonts w:ascii="Calibri" w:hAnsi="Calibri"/>
                <w:b w:val="0"/>
                <w:color w:val="202936"/>
                <w:sz w:val="18"/>
              </w:rPr>
              <w:t>Coverage across expected use</w:t>
            </w:r>
          </w:p>
        </w:tc>
      </w:tr>
      <w:tr>
        <w:tc>
          <w:tcPr>
            <w:tcW w:type="dxa" w:w="3100"/>
            <w:shd w:fill="F4F6F9"/>
            <w:tcMar>
              <w:top w:w="80" w:type="dxa"/>
              <w:bottom w:w="80" w:type="dxa"/>
              <w:start w:w="120" w:type="dxa"/>
              <w:end w:w="120" w:type="dxa"/>
            </w:tcMar>
            <w:vAlign w:val="center"/>
          </w:tcPr>
          <w:p>
            <w:pPr>
              <w:spacing w:after="20"/>
              <w:jc w:val="left"/>
            </w:pPr>
            <w:r>
              <w:rPr>
                <w:rFonts w:ascii="Calibri" w:hAnsi="Calibri"/>
                <w:b/>
                <w:color w:val="202936"/>
                <w:sz w:val="18"/>
              </w:rPr>
              <w:t>Corpus comparison set</w:t>
            </w:r>
          </w:p>
        </w:tc>
        <w:tc>
          <w:tcPr>
            <w:tcW w:type="dxa" w:w="2200"/>
            <w:shd w:fill="F4F6F9"/>
            <w:tcMar>
              <w:top w:w="80" w:type="dxa"/>
              <w:bottom w:w="80" w:type="dxa"/>
              <w:start w:w="120" w:type="dxa"/>
              <w:end w:w="120" w:type="dxa"/>
            </w:tcMar>
            <w:vAlign w:val="center"/>
          </w:tcPr>
          <w:p>
            <w:pPr>
              <w:spacing w:after="20"/>
              <w:jc w:val="center"/>
            </w:pPr>
            <w:r>
              <w:rPr>
                <w:rFonts w:ascii="Calibri" w:hAnsi="Calibri"/>
                <w:b w:val="0"/>
                <w:color w:val="202936"/>
                <w:sz w:val="18"/>
              </w:rPr>
              <w:t>40 passages</w:t>
            </w:r>
          </w:p>
        </w:tc>
        <w:tc>
          <w:tcPr>
            <w:tcW w:type="dxa" w:w="4060"/>
            <w:shd w:fill="F4F6F9"/>
            <w:tcMar>
              <w:top w:w="80" w:type="dxa"/>
              <w:bottom w:w="80" w:type="dxa"/>
              <w:start w:w="120" w:type="dxa"/>
              <w:end w:w="120" w:type="dxa"/>
            </w:tcMar>
            <w:vAlign w:val="center"/>
          </w:tcPr>
          <w:p>
            <w:pPr>
              <w:spacing w:after="20"/>
              <w:jc w:val="left"/>
            </w:pPr>
            <w:r>
              <w:rPr>
                <w:rFonts w:ascii="Calibri" w:hAnsi="Calibri"/>
                <w:b w:val="0"/>
                <w:color w:val="202936"/>
                <w:sz w:val="18"/>
              </w:rPr>
              <w:t>Query and document parity</w:t>
            </w:r>
          </w:p>
        </w:tc>
      </w:tr>
      <w:tr>
        <w:tc>
          <w:tcPr>
            <w:tcW w:type="dxa" w:w="3100"/>
            <w:tcMar>
              <w:top w:w="80" w:type="dxa"/>
              <w:bottom w:w="80" w:type="dxa"/>
              <w:start w:w="120" w:type="dxa"/>
              <w:end w:w="120" w:type="dxa"/>
            </w:tcMar>
            <w:vAlign w:val="center"/>
          </w:tcPr>
          <w:p>
            <w:pPr>
              <w:spacing w:after="20"/>
              <w:jc w:val="left"/>
            </w:pPr>
            <w:r>
              <w:rPr>
                <w:rFonts w:ascii="Calibri" w:hAnsi="Calibri"/>
                <w:b/>
                <w:color w:val="202936"/>
                <w:sz w:val="18"/>
              </w:rPr>
              <w:t>Minimum cosine similarity</w:t>
            </w:r>
          </w:p>
        </w:tc>
        <w:tc>
          <w:tcPr>
            <w:tcW w:type="dxa" w:w="2200"/>
            <w:tcMar>
              <w:top w:w="80" w:type="dxa"/>
              <w:bottom w:w="80" w:type="dxa"/>
              <w:start w:w="120" w:type="dxa"/>
              <w:end w:w="120" w:type="dxa"/>
            </w:tcMar>
            <w:vAlign w:val="center"/>
          </w:tcPr>
          <w:p>
            <w:pPr>
              <w:spacing w:after="20"/>
              <w:jc w:val="center"/>
            </w:pPr>
            <w:r>
              <w:rPr>
                <w:rFonts w:ascii="Calibri" w:hAnsi="Calibri"/>
                <w:b w:val="0"/>
                <w:color w:val="202936"/>
                <w:sz w:val="18"/>
              </w:rPr>
              <w:t>0.99999988</w:t>
            </w:r>
          </w:p>
        </w:tc>
        <w:tc>
          <w:tcPr>
            <w:tcW w:type="dxa" w:w="4060"/>
            <w:tcMar>
              <w:top w:w="80" w:type="dxa"/>
              <w:bottom w:w="80" w:type="dxa"/>
              <w:start w:w="120" w:type="dxa"/>
              <w:end w:w="120" w:type="dxa"/>
            </w:tcMar>
            <w:vAlign w:val="center"/>
          </w:tcPr>
          <w:p>
            <w:pPr>
              <w:spacing w:after="20"/>
              <w:jc w:val="left"/>
            </w:pPr>
            <w:r>
              <w:rPr>
                <w:rFonts w:ascii="Calibri" w:hAnsi="Calibri"/>
                <w:b w:val="0"/>
                <w:color w:val="202936"/>
                <w:sz w:val="18"/>
              </w:rPr>
              <w:t>Effectively identical vectors</w:t>
            </w:r>
          </w:p>
        </w:tc>
      </w:tr>
      <w:tr>
        <w:tc>
          <w:tcPr>
            <w:tcW w:type="dxa" w:w="3100"/>
            <w:shd w:fill="F4F6F9"/>
            <w:tcMar>
              <w:top w:w="80" w:type="dxa"/>
              <w:bottom w:w="80" w:type="dxa"/>
              <w:start w:w="120" w:type="dxa"/>
              <w:end w:w="120" w:type="dxa"/>
            </w:tcMar>
            <w:vAlign w:val="center"/>
          </w:tcPr>
          <w:p>
            <w:pPr>
              <w:spacing w:after="20"/>
              <w:jc w:val="left"/>
            </w:pPr>
            <w:r>
              <w:rPr>
                <w:rFonts w:ascii="Calibri" w:hAnsi="Calibri"/>
                <w:b/>
                <w:color w:val="202936"/>
                <w:sz w:val="18"/>
              </w:rPr>
              <w:t>Mean cosine similarity</w:t>
            </w:r>
          </w:p>
        </w:tc>
        <w:tc>
          <w:tcPr>
            <w:tcW w:type="dxa" w:w="2200"/>
            <w:shd w:fill="F4F6F9"/>
            <w:tcMar>
              <w:top w:w="80" w:type="dxa"/>
              <w:bottom w:w="80" w:type="dxa"/>
              <w:start w:w="120" w:type="dxa"/>
              <w:end w:w="120" w:type="dxa"/>
            </w:tcMar>
            <w:vAlign w:val="center"/>
          </w:tcPr>
          <w:p>
            <w:pPr>
              <w:spacing w:after="20"/>
              <w:jc w:val="center"/>
            </w:pPr>
            <w:r>
              <w:rPr>
                <w:rFonts w:ascii="Calibri" w:hAnsi="Calibri"/>
                <w:b w:val="0"/>
                <w:color w:val="202936"/>
                <w:sz w:val="18"/>
              </w:rPr>
              <w:t>1.00000000</w:t>
            </w:r>
          </w:p>
        </w:tc>
        <w:tc>
          <w:tcPr>
            <w:tcW w:type="dxa" w:w="4060"/>
            <w:shd w:fill="F4F6F9"/>
            <w:tcMar>
              <w:top w:w="80" w:type="dxa"/>
              <w:bottom w:w="80" w:type="dxa"/>
              <w:start w:w="120" w:type="dxa"/>
              <w:end w:w="120" w:type="dxa"/>
            </w:tcMar>
            <w:vAlign w:val="center"/>
          </w:tcPr>
          <w:p>
            <w:pPr>
              <w:spacing w:after="20"/>
              <w:jc w:val="left"/>
            </w:pPr>
            <w:r>
              <w:rPr>
                <w:rFonts w:ascii="Calibri" w:hAnsi="Calibri"/>
                <w:b w:val="0"/>
                <w:color w:val="202936"/>
                <w:sz w:val="18"/>
              </w:rPr>
              <w:t>No material embedding drift</w:t>
            </w:r>
          </w:p>
        </w:tc>
      </w:tr>
      <w:tr>
        <w:tc>
          <w:tcPr>
            <w:tcW w:type="dxa" w:w="3100"/>
            <w:tcMar>
              <w:top w:w="80" w:type="dxa"/>
              <w:bottom w:w="80" w:type="dxa"/>
              <w:start w:w="120" w:type="dxa"/>
              <w:end w:w="120" w:type="dxa"/>
            </w:tcMar>
            <w:vAlign w:val="center"/>
          </w:tcPr>
          <w:p>
            <w:pPr>
              <w:spacing w:after="20"/>
              <w:jc w:val="left"/>
            </w:pPr>
            <w:r>
              <w:rPr>
                <w:rFonts w:ascii="Calibri" w:hAnsi="Calibri"/>
                <w:b/>
                <w:color w:val="202936"/>
                <w:sz w:val="18"/>
              </w:rPr>
              <w:t>Minimum top-10 overlap</w:t>
            </w:r>
          </w:p>
        </w:tc>
        <w:tc>
          <w:tcPr>
            <w:tcW w:type="dxa" w:w="2200"/>
            <w:tcMar>
              <w:top w:w="80" w:type="dxa"/>
              <w:bottom w:w="80" w:type="dxa"/>
              <w:start w:w="120" w:type="dxa"/>
              <w:end w:w="120" w:type="dxa"/>
            </w:tcMar>
            <w:vAlign w:val="center"/>
          </w:tcPr>
          <w:p>
            <w:pPr>
              <w:spacing w:after="20"/>
              <w:jc w:val="center"/>
            </w:pPr>
            <w:r>
              <w:rPr>
                <w:rFonts w:ascii="Calibri" w:hAnsi="Calibri"/>
                <w:b w:val="0"/>
                <w:color w:val="202936"/>
                <w:sz w:val="18"/>
              </w:rPr>
              <w:t>100%</w:t>
            </w:r>
          </w:p>
        </w:tc>
        <w:tc>
          <w:tcPr>
            <w:tcW w:type="dxa" w:w="4060"/>
            <w:tcMar>
              <w:top w:w="80" w:type="dxa"/>
              <w:bottom w:w="80" w:type="dxa"/>
              <w:start w:w="120" w:type="dxa"/>
              <w:end w:w="120" w:type="dxa"/>
            </w:tcMar>
            <w:vAlign w:val="center"/>
          </w:tcPr>
          <w:p>
            <w:pPr>
              <w:spacing w:after="20"/>
              <w:jc w:val="left"/>
            </w:pPr>
            <w:r>
              <w:rPr>
                <w:rFonts w:ascii="Calibri" w:hAnsi="Calibri"/>
                <w:b w:val="0"/>
                <w:color w:val="202936"/>
                <w:sz w:val="18"/>
              </w:rPr>
              <w:t>No retrieval ranking change</w:t>
            </w:r>
          </w:p>
        </w:tc>
      </w:tr>
      <w:tr>
        <w:tc>
          <w:tcPr>
            <w:tcW w:type="dxa" w:w="3100"/>
            <w:shd w:fill="F4F6F9"/>
            <w:tcMar>
              <w:top w:w="80" w:type="dxa"/>
              <w:bottom w:w="80" w:type="dxa"/>
              <w:start w:w="120" w:type="dxa"/>
              <w:end w:w="120" w:type="dxa"/>
            </w:tcMar>
            <w:vAlign w:val="center"/>
          </w:tcPr>
          <w:p>
            <w:pPr>
              <w:spacing w:after="20"/>
              <w:jc w:val="left"/>
            </w:pPr>
            <w:r>
              <w:rPr>
                <w:rFonts w:ascii="Calibri" w:hAnsi="Calibri"/>
                <w:b/>
                <w:color w:val="202936"/>
                <w:sz w:val="18"/>
              </w:rPr>
              <w:t>Automated test suite</w:t>
            </w:r>
          </w:p>
        </w:tc>
        <w:tc>
          <w:tcPr>
            <w:tcW w:type="dxa" w:w="2200"/>
            <w:shd w:fill="F4F6F9"/>
            <w:tcMar>
              <w:top w:w="80" w:type="dxa"/>
              <w:bottom w:w="80" w:type="dxa"/>
              <w:start w:w="120" w:type="dxa"/>
              <w:end w:w="120" w:type="dxa"/>
            </w:tcMar>
            <w:vAlign w:val="center"/>
          </w:tcPr>
          <w:p>
            <w:pPr>
              <w:spacing w:after="20"/>
              <w:jc w:val="center"/>
            </w:pPr>
            <w:r>
              <w:rPr>
                <w:rFonts w:ascii="Calibri" w:hAnsi="Calibri"/>
                <w:b w:val="0"/>
                <w:color w:val="202936"/>
                <w:sz w:val="18"/>
              </w:rPr>
              <w:t>182 passed; 3 skipped</w:t>
            </w:r>
          </w:p>
        </w:tc>
        <w:tc>
          <w:tcPr>
            <w:tcW w:type="dxa" w:w="4060"/>
            <w:shd w:fill="F4F6F9"/>
            <w:tcMar>
              <w:top w:w="80" w:type="dxa"/>
              <w:bottom w:w="80" w:type="dxa"/>
              <w:start w:w="120" w:type="dxa"/>
              <w:end w:w="120" w:type="dxa"/>
            </w:tcMar>
            <w:vAlign w:val="center"/>
          </w:tcPr>
          <w:p>
            <w:pPr>
              <w:spacing w:after="20"/>
              <w:jc w:val="left"/>
            </w:pPr>
            <w:r>
              <w:rPr>
                <w:rFonts w:ascii="Calibri" w:hAnsi="Calibri"/>
                <w:b w:val="0"/>
                <w:color w:val="202936"/>
                <w:sz w:val="18"/>
              </w:rPr>
              <w:t>No regression detected</w:t>
            </w:r>
          </w:p>
        </w:tc>
      </w:tr>
      <w:tr>
        <w:tc>
          <w:tcPr>
            <w:tcW w:type="dxa" w:w="3100"/>
            <w:tcMar>
              <w:top w:w="80" w:type="dxa"/>
              <w:bottom w:w="80" w:type="dxa"/>
              <w:start w:w="120" w:type="dxa"/>
              <w:end w:w="120" w:type="dxa"/>
            </w:tcMar>
            <w:vAlign w:val="center"/>
          </w:tcPr>
          <w:p>
            <w:pPr>
              <w:spacing w:after="20"/>
              <w:jc w:val="left"/>
            </w:pPr>
            <w:r>
              <w:rPr>
                <w:rFonts w:ascii="Calibri" w:hAnsi="Calibri"/>
                <w:b/>
                <w:color w:val="202936"/>
                <w:sz w:val="18"/>
              </w:rPr>
              <w:t>Live-corpus preview</w:t>
            </w:r>
          </w:p>
        </w:tc>
        <w:tc>
          <w:tcPr>
            <w:tcW w:type="dxa" w:w="2200"/>
            <w:tcMar>
              <w:top w:w="80" w:type="dxa"/>
              <w:bottom w:w="80" w:type="dxa"/>
              <w:start w:w="120" w:type="dxa"/>
              <w:end w:w="120" w:type="dxa"/>
            </w:tcMar>
            <w:vAlign w:val="center"/>
          </w:tcPr>
          <w:p>
            <w:pPr>
              <w:spacing w:after="20"/>
              <w:jc w:val="center"/>
            </w:pPr>
            <w:r>
              <w:rPr>
                <w:rFonts w:ascii="Calibri" w:hAnsi="Calibri"/>
                <w:b w:val="0"/>
                <w:color w:val="202936"/>
                <w:sz w:val="18"/>
              </w:rPr>
              <w:t>386 documents / 47,698 chunks</w:t>
            </w:r>
          </w:p>
        </w:tc>
        <w:tc>
          <w:tcPr>
            <w:tcW w:type="dxa" w:w="4060"/>
            <w:tcMar>
              <w:top w:w="80" w:type="dxa"/>
              <w:bottom w:w="80" w:type="dxa"/>
              <w:start w:w="120" w:type="dxa"/>
              <w:end w:w="120" w:type="dxa"/>
            </w:tcMar>
            <w:vAlign w:val="center"/>
          </w:tcPr>
          <w:p>
            <w:pPr>
              <w:spacing w:after="20"/>
              <w:jc w:val="left"/>
            </w:pPr>
            <w:r>
              <w:rPr>
                <w:rFonts w:ascii="Calibri" w:hAnsi="Calibri"/>
                <w:b w:val="0"/>
                <w:color w:val="202936"/>
                <w:sz w:val="18"/>
              </w:rPr>
              <w:t>Real deployment-scale validation</w:t>
            </w:r>
          </w:p>
        </w:tc>
      </w:tr>
    </w:tbl>
    <w:p>
      <w:pPr>
        <w:spacing w:after="0"/>
      </w:pPr>
    </w:p>
    <w:p>
      <w:pPr>
        <w:pStyle w:val="Heading2"/>
        <w:keepNext/>
      </w:pPr>
      <w:r>
        <w:t>End-to-end RAG validation</w:t>
      </w:r>
    </w:p>
    <w:p>
      <w:r>
        <w:rPr>
          <w:rFonts w:ascii="Calibri" w:hAnsi="Calibri"/>
          <w:i w:val="0"/>
          <w:color w:val="202936"/>
          <w:sz w:val="22"/>
        </w:rPr>
        <w:t>A deployed preview using the exact source revision and production database was tested against 386 indexed documents and 47,698 chunks. A full TWEAK request returned a grounded summary, three recommendations, five citations, a bench plan, evidence groups, appendix material, report narrative, and warnings. Cold and warm responses were content-identical; only timestamps and runtime metadata differed.</w:t>
      </w:r>
    </w:p>
    <w:tbl>
      <w:tblPr>
        <w:tblW w:type="dxa" w:w="9360"/>
        <w:jc w:val="left"/>
        <w:tblLayout w:type="fixed"/>
        <w:tblLook w:firstColumn="1" w:firstRow="1" w:lastColumn="0" w:lastRow="0" w:noHBand="0" w:noVBand="1" w:val="04A0"/>
        <w:tblInd w:w="120" w:type="dxa"/>
        <w:tblBorders>
          <w:top w:val="single" w:sz="8" w:space="0" w:color="B17818"/>
          <w:bottom w:val="single" w:sz="8" w:space="0" w:color="B17818"/>
          <w:insideH w:val="single" w:sz="8" w:space="0" w:color="B17818"/>
          <w:insideV w:val="single" w:sz="8" w:space="0" w:color="B17818"/>
        </w:tblBorders>
      </w:tblPr>
      <w:tblGrid>
        <w:gridCol w:w="9360"/>
      </w:tblGrid>
      <w:tr>
        <w:trPr>
          <w:tblHeader w:val="true"/>
        </w:trPr>
        <w:tc>
          <w:tcPr>
            <w:tcW w:type="dxa" w:w="9360"/>
            <w:tcMar>
              <w:top w:w="80" w:type="dxa"/>
              <w:bottom w:w="80" w:type="dxa"/>
              <w:start w:w="120" w:type="dxa"/>
              <w:end w:w="120" w:type="dxa"/>
            </w:tcMar>
            <w:vAlign w:val="center"/>
            <w:shd w:fill="FFF8E8"/>
          </w:tcPr>
          <w:p>
            <w:pPr>
              <w:spacing w:before="40" w:after="40" w:line="283" w:lineRule="auto"/>
              <w:jc w:val="left"/>
            </w:pPr>
            <w:r>
              <w:rPr>
                <w:rFonts w:ascii="Calibri" w:hAnsi="Calibri"/>
                <w:b/>
                <w:color w:val="1F4D78"/>
                <w:sz w:val="19"/>
              </w:rPr>
              <w:t xml:space="preserve">VALIDATION BOUNDARY  </w:t>
            </w:r>
            <w:r>
              <w:rPr>
                <w:rFonts w:ascii="Calibri" w:hAnsi="Calibri"/>
                <w:color w:val="202936"/>
                <w:sz w:val="21"/>
              </w:rPr>
              <w:t>Public production readiness was verified after release. The authenticated full TWEAK benchmark was run on the deployment preview connected to the production database, because no active end-user production session was available during validation.</w:t>
            </w:r>
          </w:p>
        </w:tc>
      </w:tr>
    </w:tbl>
    <w:p>
      <w:pPr>
        <w:spacing w:before="0" w:after="80"/>
      </w:pPr>
    </w:p>
    <w:p>
      <w:r>
        <w:rPr>
          <w:rFonts w:ascii="Calibri" w:hAnsi="Calibri"/>
          <w:b/>
          <w:color w:val="202936"/>
          <w:sz w:val="22"/>
        </w:rPr>
        <w:t>Regression fixtures</w:t>
      </w:r>
      <w:r>
        <w:rPr>
          <w:rFonts w:ascii="Calibri" w:hAnsi="Calibri"/>
          <w:i w:val="0"/>
          <w:color w:val="202936"/>
          <w:sz w:val="22"/>
        </w:rPr>
        <w:t xml:space="preserve"> now lock numerical parity, backend selection, production configuration, and release behavior. No database migration or generated-schema change was required.</w:t>
      </w:r>
    </w:p>
    <w:p>
      <w:r>
        <w:br w:type="page"/>
      </w:r>
    </w:p>
    <w:p>
      <w:pPr>
        <w:spacing w:before="0" w:after="120"/>
        <w:jc w:val="left"/>
      </w:pPr>
      <w:r>
        <w:rPr>
          <w:rFonts w:ascii="Calibri" w:hAnsi="Calibri"/>
          <w:b/>
          <w:color w:val="B17818"/>
          <w:sz w:val="19"/>
        </w:rPr>
        <w:t>MEASURED IMPACT</w:t>
      </w:r>
    </w:p>
    <w:p>
      <w:pPr>
        <w:pStyle w:val="Heading1"/>
        <w:keepNext/>
      </w:pPr>
      <w:r>
        <w:t>Production results</w:t>
      </w:r>
    </w:p>
    <w:tbl>
      <w:tblPr>
        <w:tblW w:type="dxa" w:w="9360"/>
        <w:tblLayout w:type="fixed"/>
        <w:tblLook w:firstColumn="1" w:firstRow="1" w:lastColumn="0" w:lastRow="0" w:noHBand="0" w:noVBand="1" w:val="04A0"/>
        <w:jc w:val="left"/>
        <w:tblInd w:w="120" w:type="dxa"/>
        <w:tblBorders>
          <w:top w:val="single" w:sz="6" w:space="0" w:color="CCD6E0"/>
          <w:bottom w:val="single" w:sz="6" w:space="0" w:color="CCD6E0"/>
          <w:insideH w:val="single" w:sz="6" w:space="0" w:color="CCD6E0"/>
          <w:insideV w:val="single" w:sz="6" w:space="0" w:color="CCD6E0"/>
        </w:tblBorders>
      </w:tblPr>
      <w:tblGrid>
        <w:gridCol w:w="3100"/>
        <w:gridCol w:w="1800"/>
        <w:gridCol w:w="1800"/>
        <w:gridCol w:w="2660"/>
      </w:tblGrid>
      <w:tr>
        <w:trPr>
          <w:tblHeader w:val="true"/>
        </w:trPr>
        <w:tc>
          <w:tcPr>
            <w:tcW w:type="dxa" w:w="3100"/>
            <w:tcMar>
              <w:top w:w="80" w:type="dxa"/>
              <w:bottom w:w="80" w:type="dxa"/>
              <w:start w:w="120" w:type="dxa"/>
              <w:end w:w="120" w:type="dxa"/>
            </w:tcMar>
            <w:vAlign w:val="center"/>
            <w:shd w:fill="0B2545"/>
          </w:tcPr>
          <w:p>
            <w:pPr>
              <w:spacing w:after="0"/>
              <w:jc w:val="left"/>
            </w:pPr>
            <w:r>
              <w:rPr>
                <w:rFonts w:ascii="Calibri" w:hAnsi="Calibri"/>
                <w:b/>
                <w:color w:val="FFFFFF"/>
                <w:sz w:val="19"/>
              </w:rPr>
              <w:t>Metric</w:t>
            </w:r>
          </w:p>
        </w:tc>
        <w:tc>
          <w:tcPr>
            <w:tcW w:type="dxa" w:w="1800"/>
            <w:tcMar>
              <w:top w:w="80" w:type="dxa"/>
              <w:bottom w:w="80" w:type="dxa"/>
              <w:start w:w="120" w:type="dxa"/>
              <w:end w:w="120" w:type="dxa"/>
            </w:tcMar>
            <w:vAlign w:val="center"/>
            <w:shd w:fill="0B2545"/>
          </w:tcPr>
          <w:p>
            <w:pPr>
              <w:spacing w:after="0"/>
              <w:jc w:val="center"/>
            </w:pPr>
            <w:r>
              <w:rPr>
                <w:rFonts w:ascii="Calibri" w:hAnsi="Calibri"/>
                <w:b/>
                <w:color w:val="FFFFFF"/>
                <w:sz w:val="19"/>
              </w:rPr>
              <w:t>Before</w:t>
            </w:r>
          </w:p>
        </w:tc>
        <w:tc>
          <w:tcPr>
            <w:tcW w:type="dxa" w:w="1800"/>
            <w:tcMar>
              <w:top w:w="80" w:type="dxa"/>
              <w:bottom w:w="80" w:type="dxa"/>
              <w:start w:w="120" w:type="dxa"/>
              <w:end w:w="120" w:type="dxa"/>
            </w:tcMar>
            <w:vAlign w:val="center"/>
            <w:shd w:fill="0B2545"/>
          </w:tcPr>
          <w:p>
            <w:pPr>
              <w:spacing w:after="0"/>
              <w:jc w:val="center"/>
            </w:pPr>
            <w:r>
              <w:rPr>
                <w:rFonts w:ascii="Calibri" w:hAnsi="Calibri"/>
                <w:b/>
                <w:color w:val="FFFFFF"/>
                <w:sz w:val="19"/>
              </w:rPr>
              <w:t>After</w:t>
            </w:r>
          </w:p>
        </w:tc>
        <w:tc>
          <w:tcPr>
            <w:tcW w:type="dxa" w:w="2660"/>
            <w:tcMar>
              <w:top w:w="80" w:type="dxa"/>
              <w:bottom w:w="80" w:type="dxa"/>
              <w:start w:w="120" w:type="dxa"/>
              <w:end w:w="120" w:type="dxa"/>
            </w:tcMar>
            <w:vAlign w:val="center"/>
            <w:shd w:fill="0B2545"/>
          </w:tcPr>
          <w:p>
            <w:pPr>
              <w:spacing w:after="0"/>
              <w:jc w:val="center"/>
            </w:pPr>
            <w:r>
              <w:rPr>
                <w:rFonts w:ascii="Calibri" w:hAnsi="Calibri"/>
                <w:b/>
                <w:color w:val="FFFFFF"/>
                <w:sz w:val="19"/>
              </w:rPr>
              <w:t>Outcome</w:t>
            </w:r>
          </w:p>
        </w:tc>
      </w:tr>
      <w:tr>
        <w:tc>
          <w:tcPr>
            <w:tcW w:type="dxa" w:w="3100"/>
            <w:tcMar>
              <w:top w:w="80" w:type="dxa"/>
              <w:bottom w:w="80" w:type="dxa"/>
              <w:start w:w="120" w:type="dxa"/>
              <w:end w:w="120" w:type="dxa"/>
            </w:tcMar>
            <w:vAlign w:val="center"/>
          </w:tcPr>
          <w:p>
            <w:pPr>
              <w:spacing w:before="20" w:after="20"/>
              <w:jc w:val="left"/>
            </w:pPr>
            <w:r>
              <w:rPr>
                <w:rFonts w:ascii="Calibri" w:hAnsi="Calibri"/>
                <w:b/>
                <w:color w:val="202936"/>
                <w:sz w:val="18"/>
              </w:rPr>
              <w:t>Production function bundle</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2.74 GB</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398.48 MB</w:t>
            </w:r>
          </w:p>
        </w:tc>
        <w:tc>
          <w:tcPr>
            <w:tcW w:type="dxa" w:w="2660"/>
            <w:tcMar>
              <w:top w:w="80" w:type="dxa"/>
              <w:bottom w:w="80" w:type="dxa"/>
              <w:start w:w="120" w:type="dxa"/>
              <w:end w:w="120" w:type="dxa"/>
            </w:tcMar>
            <w:vAlign w:val="center"/>
          </w:tcPr>
          <w:p>
            <w:pPr>
              <w:spacing w:before="20" w:after="20"/>
              <w:jc w:val="left"/>
            </w:pPr>
            <w:r>
              <w:rPr>
                <w:rFonts w:ascii="Calibri" w:hAnsi="Calibri"/>
                <w:b w:val="0"/>
                <w:color w:val="202936"/>
                <w:sz w:val="18"/>
              </w:rPr>
              <w:t>≈85% smaller</w:t>
            </w:r>
          </w:p>
        </w:tc>
      </w:tr>
      <w:tr>
        <w:tc>
          <w:tcPr>
            <w:tcW w:type="dxa" w:w="3100"/>
            <w:shd w:fill="F4F6F9"/>
            <w:tcMar>
              <w:top w:w="80" w:type="dxa"/>
              <w:bottom w:w="80" w:type="dxa"/>
              <w:start w:w="120" w:type="dxa"/>
              <w:end w:w="120" w:type="dxa"/>
            </w:tcMar>
            <w:vAlign w:val="center"/>
          </w:tcPr>
          <w:p>
            <w:pPr>
              <w:spacing w:before="20" w:after="20"/>
              <w:jc w:val="left"/>
            </w:pPr>
            <w:r>
              <w:rPr>
                <w:rFonts w:ascii="Calibri" w:hAnsi="Calibri"/>
                <w:b/>
                <w:color w:val="202936"/>
                <w:sz w:val="18"/>
              </w:rPr>
              <w:t>Cold TWEAK request</w:t>
            </w:r>
          </w:p>
        </w:tc>
        <w:tc>
          <w:tcPr>
            <w:tcW w:type="dxa" w:w="1800"/>
            <w:shd w:fill="F4F6F9"/>
            <w:tcMar>
              <w:top w:w="80" w:type="dxa"/>
              <w:bottom w:w="80" w:type="dxa"/>
              <w:start w:w="120" w:type="dxa"/>
              <w:end w:w="120" w:type="dxa"/>
            </w:tcMar>
            <w:vAlign w:val="center"/>
          </w:tcPr>
          <w:p>
            <w:pPr>
              <w:spacing w:before="20" w:after="20"/>
              <w:jc w:val="center"/>
            </w:pPr>
            <w:r>
              <w:rPr>
                <w:rFonts w:ascii="Calibri" w:hAnsi="Calibri"/>
                <w:b w:val="0"/>
                <w:color w:val="202936"/>
                <w:sz w:val="18"/>
              </w:rPr>
              <w:t>≈13.8 sec</w:t>
            </w:r>
          </w:p>
        </w:tc>
        <w:tc>
          <w:tcPr>
            <w:tcW w:type="dxa" w:w="1800"/>
            <w:shd w:fill="F4F6F9"/>
            <w:tcMar>
              <w:top w:w="80" w:type="dxa"/>
              <w:bottom w:w="80" w:type="dxa"/>
              <w:start w:w="120" w:type="dxa"/>
              <w:end w:w="120" w:type="dxa"/>
            </w:tcMar>
            <w:vAlign w:val="center"/>
          </w:tcPr>
          <w:p>
            <w:pPr>
              <w:spacing w:before="20" w:after="20"/>
              <w:jc w:val="center"/>
            </w:pPr>
            <w:r>
              <w:rPr>
                <w:rFonts w:ascii="Calibri" w:hAnsi="Calibri"/>
                <w:b w:val="0"/>
                <w:color w:val="202936"/>
                <w:sz w:val="18"/>
              </w:rPr>
              <w:t>3.96 sec</w:t>
            </w:r>
          </w:p>
        </w:tc>
        <w:tc>
          <w:tcPr>
            <w:tcW w:type="dxa" w:w="2660"/>
            <w:shd w:fill="F4F6F9"/>
            <w:tcMar>
              <w:top w:w="80" w:type="dxa"/>
              <w:bottom w:w="80" w:type="dxa"/>
              <w:start w:w="120" w:type="dxa"/>
              <w:end w:w="120" w:type="dxa"/>
            </w:tcMar>
            <w:vAlign w:val="center"/>
          </w:tcPr>
          <w:p>
            <w:pPr>
              <w:spacing w:before="20" w:after="20"/>
              <w:jc w:val="left"/>
            </w:pPr>
            <w:r>
              <w:rPr>
                <w:rFonts w:ascii="Calibri" w:hAnsi="Calibri"/>
                <w:b w:val="0"/>
                <w:color w:val="202936"/>
                <w:sz w:val="18"/>
              </w:rPr>
              <w:t>≈3.5× faster</w:t>
            </w:r>
          </w:p>
        </w:tc>
      </w:tr>
      <w:tr>
        <w:tc>
          <w:tcPr>
            <w:tcW w:type="dxa" w:w="3100"/>
            <w:tcMar>
              <w:top w:w="80" w:type="dxa"/>
              <w:bottom w:w="80" w:type="dxa"/>
              <w:start w:w="120" w:type="dxa"/>
              <w:end w:w="120" w:type="dxa"/>
            </w:tcMar>
            <w:vAlign w:val="center"/>
          </w:tcPr>
          <w:p>
            <w:pPr>
              <w:spacing w:before="20" w:after="20"/>
              <w:jc w:val="left"/>
            </w:pPr>
            <w:r>
              <w:rPr>
                <w:rFonts w:ascii="Calibri" w:hAnsi="Calibri"/>
                <w:b/>
                <w:color w:val="202936"/>
                <w:sz w:val="18"/>
              </w:rPr>
              <w:t>Warm TWEAK request</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Not benchmarked</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1.42 sec</w:t>
            </w:r>
          </w:p>
        </w:tc>
        <w:tc>
          <w:tcPr>
            <w:tcW w:type="dxa" w:w="2660"/>
            <w:tcMar>
              <w:top w:w="80" w:type="dxa"/>
              <w:bottom w:w="80" w:type="dxa"/>
              <w:start w:w="120" w:type="dxa"/>
              <w:end w:w="120" w:type="dxa"/>
            </w:tcMar>
            <w:vAlign w:val="center"/>
          </w:tcPr>
          <w:p>
            <w:pPr>
              <w:spacing w:before="20" w:after="20"/>
              <w:jc w:val="left"/>
            </w:pPr>
            <w:r>
              <w:rPr>
                <w:rFonts w:ascii="Calibri" w:hAnsi="Calibri"/>
                <w:b w:val="0"/>
                <w:color w:val="202936"/>
                <w:sz w:val="18"/>
              </w:rPr>
              <w:t>Low-latency repeat use</w:t>
            </w:r>
          </w:p>
        </w:tc>
      </w:tr>
      <w:tr>
        <w:tc>
          <w:tcPr>
            <w:tcW w:type="dxa" w:w="3100"/>
            <w:shd w:fill="F4F6F9"/>
            <w:tcMar>
              <w:top w:w="80" w:type="dxa"/>
              <w:bottom w:w="80" w:type="dxa"/>
              <w:start w:w="120" w:type="dxa"/>
              <w:end w:w="120" w:type="dxa"/>
            </w:tcMar>
            <w:vAlign w:val="center"/>
          </w:tcPr>
          <w:p>
            <w:pPr>
              <w:spacing w:before="20" w:after="20"/>
              <w:jc w:val="left"/>
            </w:pPr>
            <w:r>
              <w:rPr>
                <w:rFonts w:ascii="Calibri" w:hAnsi="Calibri"/>
                <w:b/>
                <w:color w:val="202936"/>
                <w:sz w:val="18"/>
              </w:rPr>
              <w:t>Build experience</w:t>
            </w:r>
          </w:p>
        </w:tc>
        <w:tc>
          <w:tcPr>
            <w:tcW w:type="dxa" w:w="1800"/>
            <w:shd w:fill="F4F6F9"/>
            <w:tcMar>
              <w:top w:w="80" w:type="dxa"/>
              <w:bottom w:w="80" w:type="dxa"/>
              <w:start w:w="120" w:type="dxa"/>
              <w:end w:w="120" w:type="dxa"/>
            </w:tcMar>
            <w:vAlign w:val="center"/>
          </w:tcPr>
          <w:p>
            <w:pPr>
              <w:spacing w:before="20" w:after="20"/>
              <w:jc w:val="center"/>
            </w:pPr>
            <w:r>
              <w:rPr>
                <w:rFonts w:ascii="Calibri" w:hAnsi="Calibri"/>
                <w:b w:val="0"/>
                <w:color w:val="202936"/>
                <w:sz w:val="18"/>
              </w:rPr>
              <w:t>≈6–8 min</w:t>
            </w:r>
          </w:p>
        </w:tc>
        <w:tc>
          <w:tcPr>
            <w:tcW w:type="dxa" w:w="1800"/>
            <w:shd w:fill="F4F6F9"/>
            <w:tcMar>
              <w:top w:w="80" w:type="dxa"/>
              <w:bottom w:w="80" w:type="dxa"/>
              <w:start w:w="120" w:type="dxa"/>
              <w:end w:w="120" w:type="dxa"/>
            </w:tcMar>
            <w:vAlign w:val="center"/>
          </w:tcPr>
          <w:p>
            <w:pPr>
              <w:spacing w:before="20" w:after="20"/>
              <w:jc w:val="center"/>
            </w:pPr>
            <w:r>
              <w:rPr>
                <w:rFonts w:ascii="Calibri" w:hAnsi="Calibri"/>
                <w:b w:val="0"/>
                <w:color w:val="202936"/>
                <w:sz w:val="18"/>
              </w:rPr>
              <w:t>13–16 sec cached phase</w:t>
            </w:r>
          </w:p>
        </w:tc>
        <w:tc>
          <w:tcPr>
            <w:tcW w:type="dxa" w:w="2660"/>
            <w:shd w:fill="F4F6F9"/>
            <w:tcMar>
              <w:top w:w="80" w:type="dxa"/>
              <w:bottom w:w="80" w:type="dxa"/>
              <w:start w:w="120" w:type="dxa"/>
              <w:end w:w="120" w:type="dxa"/>
            </w:tcMar>
            <w:vAlign w:val="center"/>
          </w:tcPr>
          <w:p>
            <w:pPr>
              <w:spacing w:before="20" w:after="20"/>
              <w:jc w:val="left"/>
            </w:pPr>
            <w:r>
              <w:rPr>
                <w:rFonts w:ascii="Calibri" w:hAnsi="Calibri"/>
                <w:b w:val="0"/>
                <w:color w:val="202936"/>
                <w:sz w:val="18"/>
              </w:rPr>
              <w:t>Faster iteration</w:t>
            </w:r>
          </w:p>
        </w:tc>
      </w:tr>
      <w:tr>
        <w:tc>
          <w:tcPr>
            <w:tcW w:type="dxa" w:w="3100"/>
            <w:tcMar>
              <w:top w:w="80" w:type="dxa"/>
              <w:bottom w:w="80" w:type="dxa"/>
              <w:start w:w="120" w:type="dxa"/>
              <w:end w:w="120" w:type="dxa"/>
            </w:tcMar>
            <w:vAlign w:val="center"/>
          </w:tcPr>
          <w:p>
            <w:pPr>
              <w:spacing w:before="20" w:after="20"/>
              <w:jc w:val="left"/>
            </w:pPr>
            <w:r>
              <w:rPr>
                <w:rFonts w:ascii="Calibri" w:hAnsi="Calibri"/>
                <w:b/>
                <w:color w:val="202936"/>
                <w:sz w:val="18"/>
              </w:rPr>
              <w:t>Vector dimensions</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384</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384</w:t>
            </w:r>
          </w:p>
        </w:tc>
        <w:tc>
          <w:tcPr>
            <w:tcW w:type="dxa" w:w="2660"/>
            <w:tcMar>
              <w:top w:w="80" w:type="dxa"/>
              <w:bottom w:w="80" w:type="dxa"/>
              <w:start w:w="120" w:type="dxa"/>
              <w:end w:w="120" w:type="dxa"/>
            </w:tcMar>
            <w:vAlign w:val="center"/>
          </w:tcPr>
          <w:p>
            <w:pPr>
              <w:spacing w:before="20" w:after="20"/>
              <w:jc w:val="left"/>
            </w:pPr>
            <w:r>
              <w:rPr>
                <w:rFonts w:ascii="Calibri" w:hAnsi="Calibri"/>
                <w:b w:val="0"/>
                <w:color w:val="202936"/>
                <w:sz w:val="18"/>
              </w:rPr>
              <w:t>No index change</w:t>
            </w:r>
          </w:p>
        </w:tc>
      </w:tr>
      <w:tr>
        <w:tc>
          <w:tcPr>
            <w:tcW w:type="dxa" w:w="3100"/>
            <w:shd w:fill="F4F6F9"/>
            <w:tcMar>
              <w:top w:w="80" w:type="dxa"/>
              <w:bottom w:w="80" w:type="dxa"/>
              <w:start w:w="120" w:type="dxa"/>
              <w:end w:w="120" w:type="dxa"/>
            </w:tcMar>
            <w:vAlign w:val="center"/>
          </w:tcPr>
          <w:p>
            <w:pPr>
              <w:spacing w:before="20" w:after="20"/>
              <w:jc w:val="left"/>
            </w:pPr>
            <w:r>
              <w:rPr>
                <w:rFonts w:ascii="Calibri" w:hAnsi="Calibri"/>
                <w:b/>
                <w:color w:val="202936"/>
                <w:sz w:val="18"/>
              </w:rPr>
              <w:t>Top-10 retrieval overlap</w:t>
            </w:r>
          </w:p>
        </w:tc>
        <w:tc>
          <w:tcPr>
            <w:tcW w:type="dxa" w:w="1800"/>
            <w:shd w:fill="F4F6F9"/>
            <w:tcMar>
              <w:top w:w="80" w:type="dxa"/>
              <w:bottom w:w="80" w:type="dxa"/>
              <w:start w:w="120" w:type="dxa"/>
              <w:end w:w="120" w:type="dxa"/>
            </w:tcMar>
            <w:vAlign w:val="center"/>
          </w:tcPr>
          <w:p>
            <w:pPr>
              <w:spacing w:before="20" w:after="20"/>
              <w:jc w:val="center"/>
            </w:pPr>
            <w:r>
              <w:rPr>
                <w:rFonts w:ascii="Calibri" w:hAnsi="Calibri"/>
                <w:b w:val="0"/>
                <w:color w:val="202936"/>
                <w:sz w:val="18"/>
              </w:rPr>
              <w:t>Baseline</w:t>
            </w:r>
          </w:p>
        </w:tc>
        <w:tc>
          <w:tcPr>
            <w:tcW w:type="dxa" w:w="1800"/>
            <w:shd w:fill="F4F6F9"/>
            <w:tcMar>
              <w:top w:w="80" w:type="dxa"/>
              <w:bottom w:w="80" w:type="dxa"/>
              <w:start w:w="120" w:type="dxa"/>
              <w:end w:w="120" w:type="dxa"/>
            </w:tcMar>
            <w:vAlign w:val="center"/>
          </w:tcPr>
          <w:p>
            <w:pPr>
              <w:spacing w:before="20" w:after="20"/>
              <w:jc w:val="center"/>
            </w:pPr>
            <w:r>
              <w:rPr>
                <w:rFonts w:ascii="Calibri" w:hAnsi="Calibri"/>
                <w:b w:val="0"/>
                <w:color w:val="202936"/>
                <w:sz w:val="18"/>
              </w:rPr>
              <w:t>100%</w:t>
            </w:r>
          </w:p>
        </w:tc>
        <w:tc>
          <w:tcPr>
            <w:tcW w:type="dxa" w:w="2660"/>
            <w:shd w:fill="F4F6F9"/>
            <w:tcMar>
              <w:top w:w="80" w:type="dxa"/>
              <w:bottom w:w="80" w:type="dxa"/>
              <w:start w:w="120" w:type="dxa"/>
              <w:end w:w="120" w:type="dxa"/>
            </w:tcMar>
            <w:vAlign w:val="center"/>
          </w:tcPr>
          <w:p>
            <w:pPr>
              <w:spacing w:before="20" w:after="20"/>
              <w:jc w:val="left"/>
            </w:pPr>
            <w:r>
              <w:rPr>
                <w:rFonts w:ascii="Calibri" w:hAnsi="Calibri"/>
                <w:b w:val="0"/>
                <w:color w:val="202936"/>
                <w:sz w:val="18"/>
              </w:rPr>
              <w:t>No ranking drift</w:t>
            </w:r>
          </w:p>
        </w:tc>
      </w:tr>
      <w:tr>
        <w:tc>
          <w:tcPr>
            <w:tcW w:type="dxa" w:w="3100"/>
            <w:tcMar>
              <w:top w:w="80" w:type="dxa"/>
              <w:bottom w:w="80" w:type="dxa"/>
              <w:start w:w="120" w:type="dxa"/>
              <w:end w:w="120" w:type="dxa"/>
            </w:tcMar>
            <w:vAlign w:val="center"/>
          </w:tcPr>
          <w:p>
            <w:pPr>
              <w:spacing w:before="20" w:after="20"/>
              <w:jc w:val="left"/>
            </w:pPr>
            <w:r>
              <w:rPr>
                <w:rFonts w:ascii="Calibri" w:hAnsi="Calibri"/>
                <w:b/>
                <w:color w:val="202936"/>
                <w:sz w:val="18"/>
              </w:rPr>
              <w:t>New paid AI/API cost</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$0</w:t>
            </w:r>
          </w:p>
        </w:tc>
        <w:tc>
          <w:tcPr>
            <w:tcW w:type="dxa" w:w="1800"/>
            <w:tcMar>
              <w:top w:w="80" w:type="dxa"/>
              <w:bottom w:w="80" w:type="dxa"/>
              <w:start w:w="120" w:type="dxa"/>
              <w:end w:w="120" w:type="dxa"/>
            </w:tcMar>
            <w:vAlign w:val="center"/>
          </w:tcPr>
          <w:p>
            <w:pPr>
              <w:spacing w:before="20" w:after="20"/>
              <w:jc w:val="center"/>
            </w:pPr>
            <w:r>
              <w:rPr>
                <w:rFonts w:ascii="Calibri" w:hAnsi="Calibri"/>
                <w:b w:val="0"/>
                <w:color w:val="202936"/>
                <w:sz w:val="18"/>
              </w:rPr>
              <w:t>$0</w:t>
            </w:r>
          </w:p>
        </w:tc>
        <w:tc>
          <w:tcPr>
            <w:tcW w:type="dxa" w:w="2660"/>
            <w:tcMar>
              <w:top w:w="80" w:type="dxa"/>
              <w:bottom w:w="80" w:type="dxa"/>
              <w:start w:w="120" w:type="dxa"/>
              <w:end w:w="120" w:type="dxa"/>
            </w:tcMar>
            <w:vAlign w:val="center"/>
          </w:tcPr>
          <w:p>
            <w:pPr>
              <w:spacing w:before="20" w:after="20"/>
              <w:jc w:val="left"/>
            </w:pPr>
            <w:r>
              <w:rPr>
                <w:rFonts w:ascii="Calibri" w:hAnsi="Calibri"/>
                <w:b w:val="0"/>
                <w:color w:val="202936"/>
                <w:sz w:val="18"/>
              </w:rPr>
              <w:t>No new variable fee</w:t>
            </w:r>
          </w:p>
        </w:tc>
      </w:tr>
    </w:tbl>
    <w:p>
      <w:pPr>
        <w:spacing w:after="0"/>
      </w:pPr>
    </w:p>
    <w:p>
      <w:r>
        <w:rPr>
          <w:rFonts w:ascii="Calibri" w:hAnsi="Calibri"/>
          <w:i w:val="0"/>
          <w:color w:val="202936"/>
          <w:sz w:val="22"/>
        </w:rPr>
        <w:t>The first clean optimized deployment was ready in approximately two minutes, including an 80 MB artifact upload and a cold cache. Subsequent cached build phases completed in roughly 13–16 seconds. The serverless platform still classifies the 398.48 MB function as a large-function deployment, but the change removed more than two gigabytes of runtime weight and materially improved its operating profile.</w:t>
      </w:r>
    </w:p>
    <w:p>
      <w:pPr>
        <w:pStyle w:val="Heading2"/>
        <w:keepNext/>
      </w:pPr>
      <w:r>
        <w:t>Cost impact</w:t>
      </w:r>
    </w:p>
    <w:p>
      <w:r>
        <w:rPr>
          <w:rFonts w:ascii="Calibri" w:hAnsi="Calibri"/>
          <w:i w:val="0"/>
          <w:color w:val="202936"/>
          <w:sz w:val="22"/>
        </w:rPr>
        <w:t>The optimization introduced no new paid vendor, subscription, card requirement, or per-token embedding charge. Inference remains self-hosted inside the existing deployment. The smaller bundle should reduce memory and deployment pressure, while actual platform spending remains governed by the hosting plan’s normal usage quotas.</w:t>
      </w:r>
    </w:p>
    <w:tbl>
      <w:tblPr>
        <w:tblW w:type="dxa" w:w="9360"/>
        <w:jc w:val="left"/>
        <w:tblLayout w:type="fixed"/>
        <w:tblLook w:firstColumn="1" w:firstRow="1" w:lastColumn="0" w:lastRow="0" w:noHBand="0" w:noVBand="1" w:val="04A0"/>
        <w:tblInd w:w="120" w:type="dxa"/>
        <w:tblBorders>
          <w:top w:val="single" w:sz="8" w:space="0" w:color="1D6E5B"/>
          <w:bottom w:val="single" w:sz="8" w:space="0" w:color="1D6E5B"/>
          <w:insideH w:val="single" w:sz="8" w:space="0" w:color="1D6E5B"/>
          <w:insideV w:val="single" w:sz="8" w:space="0" w:color="1D6E5B"/>
        </w:tblBorders>
      </w:tblPr>
      <w:tblGrid>
        <w:gridCol w:w="9360"/>
      </w:tblGrid>
      <w:tr>
        <w:trPr>
          <w:tblHeader w:val="true"/>
        </w:trPr>
        <w:tc>
          <w:tcPr>
            <w:tcW w:type="dxa" w:w="9360"/>
            <w:tcMar>
              <w:top w:w="80" w:type="dxa"/>
              <w:bottom w:w="80" w:type="dxa"/>
              <w:start w:w="120" w:type="dxa"/>
              <w:end w:w="120" w:type="dxa"/>
            </w:tcMar>
            <w:vAlign w:val="center"/>
            <w:shd w:fill="EAF5F1"/>
          </w:tcPr>
          <w:p>
            <w:pPr>
              <w:spacing w:before="40" w:after="40" w:line="283" w:lineRule="auto"/>
              <w:jc w:val="left"/>
            </w:pPr>
            <w:r>
              <w:rPr>
                <w:rFonts w:ascii="Calibri" w:hAnsi="Calibri"/>
                <w:b/>
                <w:color w:val="1F4D78"/>
                <w:sz w:val="19"/>
              </w:rPr>
              <w:t xml:space="preserve">COST CONCLUSION  </w:t>
            </w:r>
            <w:r>
              <w:rPr>
                <w:rFonts w:ascii="Calibri" w:hAnsi="Calibri"/>
                <w:color w:val="202936"/>
                <w:sz w:val="21"/>
              </w:rPr>
              <w:t>Better performance was achieved through runtime engineering, not by shifting the workload to another paid AI service.</w:t>
            </w:r>
          </w:p>
        </w:tc>
      </w:tr>
    </w:tbl>
    <w:p>
      <w:pPr>
        <w:spacing w:before="0" w:after="80"/>
      </w:pPr>
    </w:p>
    <w:p>
      <w:r>
        <w:br w:type="page"/>
      </w:r>
    </w:p>
    <w:p>
      <w:pPr>
        <w:spacing w:before="0" w:after="120"/>
        <w:jc w:val="left"/>
      </w:pPr>
      <w:r>
        <w:rPr>
          <w:rFonts w:ascii="Calibri" w:hAnsi="Calibri"/>
          <w:b/>
          <w:color w:val="B17818"/>
          <w:sz w:val="19"/>
        </w:rPr>
        <w:t>RISK REDUCTION</w:t>
      </w:r>
    </w:p>
    <w:p>
      <w:pPr>
        <w:pStyle w:val="Heading1"/>
        <w:keepNext/>
      </w:pPr>
      <w:r>
        <w:t>Security, reliability, and tradeoffs</w:t>
      </w:r>
    </w:p>
    <w:p>
      <w:pPr>
        <w:pStyle w:val="Heading2"/>
        <w:keepNext/>
      </w:pPr>
      <w:r>
        <w:t>Security and reliability impact</w:t>
      </w:r>
    </w:p>
    <w:p>
      <w:pPr>
        <w:numPr>
          <w:ilvl w:val="0"/>
          <w:numId w:val="10"/>
        </w:numPr>
      </w:pPr>
      <w:r>
        <w:rPr>
          <w:rFonts w:ascii="Calibri" w:hAnsi="Calibri"/>
          <w:b/>
          <w:color w:val="202936"/>
          <w:sz w:val="22"/>
        </w:rPr>
        <w:t>Smaller attack surface:</w:t>
      </w:r>
      <w:r>
        <w:rPr>
          <w:rFonts w:ascii="Calibri" w:hAnsi="Calibri"/>
          <w:color w:val="202936"/>
          <w:sz w:val="22"/>
        </w:rPr>
        <w:t xml:space="preserve"> major ML framework dependencies removed from the production path.</w:t>
      </w:r>
    </w:p>
    <w:p>
      <w:pPr>
        <w:numPr>
          <w:ilvl w:val="0"/>
          <w:numId w:val="10"/>
        </w:numPr>
      </w:pPr>
      <w:r>
        <w:rPr>
          <w:rFonts w:ascii="Calibri" w:hAnsi="Calibri"/>
          <w:b/>
          <w:color w:val="202936"/>
          <w:sz w:val="22"/>
        </w:rPr>
        <w:t>Supply-chain integrity:</w:t>
      </w:r>
      <w:r>
        <w:rPr>
          <w:rFonts w:ascii="Calibri" w:hAnsi="Calibri"/>
          <w:color w:val="202936"/>
          <w:sz w:val="22"/>
        </w:rPr>
        <w:t xml:space="preserve"> packaged model assets checked against declared SHA-256 hashes.</w:t>
      </w:r>
    </w:p>
    <w:p>
      <w:pPr>
        <w:numPr>
          <w:ilvl w:val="0"/>
          <w:numId w:val="10"/>
        </w:numPr>
      </w:pPr>
      <w:r>
        <w:rPr>
          <w:rFonts w:ascii="Calibri" w:hAnsi="Calibri"/>
          <w:b/>
          <w:color w:val="202936"/>
          <w:sz w:val="22"/>
        </w:rPr>
        <w:t>Deterministic startup:</w:t>
      </w:r>
      <w:r>
        <w:rPr>
          <w:rFonts w:ascii="Calibri" w:hAnsi="Calibri"/>
          <w:color w:val="202936"/>
          <w:sz w:val="22"/>
        </w:rPr>
        <w:t xml:space="preserve"> no runtime model download required.</w:t>
      </w:r>
    </w:p>
    <w:p>
      <w:pPr>
        <w:numPr>
          <w:ilvl w:val="0"/>
          <w:numId w:val="10"/>
        </w:numPr>
      </w:pPr>
      <w:r>
        <w:rPr>
          <w:rFonts w:ascii="Calibri" w:hAnsi="Calibri"/>
          <w:b/>
          <w:color w:val="202936"/>
          <w:sz w:val="22"/>
        </w:rPr>
        <w:t>Operational clarity:</w:t>
      </w:r>
      <w:r>
        <w:rPr>
          <w:rFonts w:ascii="Calibri" w:hAnsi="Calibri"/>
          <w:color w:val="202936"/>
          <w:sz w:val="22"/>
        </w:rPr>
        <w:t xml:space="preserve"> health and status responses identify the configured embedding backend.</w:t>
      </w:r>
    </w:p>
    <w:p>
      <w:pPr>
        <w:numPr>
          <w:ilvl w:val="0"/>
          <w:numId w:val="10"/>
        </w:numPr>
      </w:pPr>
      <w:r>
        <w:rPr>
          <w:rFonts w:ascii="Calibri" w:hAnsi="Calibri"/>
          <w:b/>
          <w:color w:val="202936"/>
          <w:sz w:val="22"/>
        </w:rPr>
        <w:t>Safe fallback:</w:t>
      </w:r>
      <w:r>
        <w:rPr>
          <w:rFonts w:ascii="Calibri" w:hAnsi="Calibri"/>
          <w:color w:val="202936"/>
          <w:sz w:val="22"/>
        </w:rPr>
        <w:t xml:space="preserve"> optional legacy backend remains available for controlled rollback or parity checks.</w:t>
      </w:r>
    </w:p>
    <w:p>
      <w:pPr>
        <w:pStyle w:val="Heading2"/>
        <w:keepNext/>
      </w:pPr>
      <w:r>
        <w:t>What remains imperfect</w:t>
      </w:r>
    </w:p>
    <w:p>
      <w:r>
        <w:rPr>
          <w:rFonts w:ascii="Calibri" w:hAnsi="Calibri"/>
          <w:i w:val="0"/>
          <w:color w:val="202936"/>
          <w:sz w:val="22"/>
        </w:rPr>
        <w:t>The function is dramatically smaller but is still above the serverless provider’s conventional small-function range. The packaged ONNX artifact is also approximately 86 MB, which is acceptable for the Git host but larger than its recommended single-file size. These are managed tradeoffs rather than hidden limitations.</w:t>
      </w:r>
    </w:p>
    <w:p>
      <w:pPr>
        <w:pStyle w:val="Heading2"/>
        <w:keepNext/>
      </w:pPr>
      <w:r>
        <w:t>Practical next improvements</w:t>
      </w:r>
    </w:p>
    <w:p>
      <w:pPr>
        <w:numPr>
          <w:ilvl w:val="0"/>
          <w:numId w:val="12"/>
        </w:numPr>
      </w:pPr>
      <w:r>
        <w:rPr>
          <w:rFonts w:ascii="Calibri" w:hAnsi="Calibri"/>
          <w:color w:val="202936"/>
          <w:sz w:val="22"/>
        </w:rPr>
        <w:t>Evaluate model-artifact storage or build-layer caching if repository size becomes a maintenance burden.</w:t>
      </w:r>
    </w:p>
    <w:p>
      <w:pPr>
        <w:numPr>
          <w:ilvl w:val="0"/>
          <w:numId w:val="12"/>
        </w:numPr>
      </w:pPr>
      <w:r>
        <w:rPr>
          <w:rFonts w:ascii="Calibri" w:hAnsi="Calibri"/>
          <w:color w:val="202936"/>
          <w:sz w:val="22"/>
        </w:rPr>
        <w:t>Add continuous latency and memory telemetry across cold starts, warm requests, and batch sizes.</w:t>
      </w:r>
    </w:p>
    <w:p>
      <w:pPr>
        <w:numPr>
          <w:ilvl w:val="0"/>
          <w:numId w:val="12"/>
        </w:numPr>
      </w:pPr>
      <w:r>
        <w:rPr>
          <w:rFonts w:ascii="Calibri" w:hAnsi="Calibri"/>
          <w:color w:val="202936"/>
          <w:sz w:val="22"/>
        </w:rPr>
        <w:t>Revisit quantization only with stronger calibration data and a retrieval-quality gate that protects citations and rankings.</w:t>
      </w:r>
    </w:p>
    <w:p>
      <w:pPr>
        <w:numPr>
          <w:ilvl w:val="0"/>
          <w:numId w:val="12"/>
        </w:numPr>
      </w:pPr>
      <w:r>
        <w:rPr>
          <w:rFonts w:ascii="Calibri" w:hAnsi="Calibri"/>
          <w:color w:val="202936"/>
          <w:sz w:val="22"/>
        </w:rPr>
        <w:t>Run an authenticated production TWEAK smoke test whenever a controlled end-user session is available.</w:t>
      </w:r>
    </w:p>
    <w:p>
      <w:r>
        <w:br w:type="page"/>
      </w:r>
    </w:p>
    <w:p>
      <w:pPr>
        <w:spacing w:before="0" w:after="120"/>
        <w:jc w:val="left"/>
      </w:pPr>
      <w:r>
        <w:rPr>
          <w:rFonts w:ascii="Calibri" w:hAnsi="Calibri"/>
          <w:b/>
          <w:color w:val="B17818"/>
          <w:sz w:val="19"/>
        </w:rPr>
        <w:t>PROFESSIONAL REFLECTION</w:t>
      </w:r>
    </w:p>
    <w:p>
      <w:pPr>
        <w:pStyle w:val="Heading1"/>
        <w:keepNext/>
      </w:pPr>
      <w:r>
        <w:t>What this work demonstrates</w:t>
      </w:r>
    </w:p>
    <w:tbl>
      <w:tblPr>
        <w:tblW w:type="dxa" w:w="9360"/>
        <w:tblLayout w:type="fixed"/>
        <w:tblLook w:firstColumn="1" w:firstRow="1" w:lastColumn="0" w:lastRow="0" w:noHBand="0" w:noVBand="1" w:val="04A0"/>
        <w:jc w:val="left"/>
        <w:tblInd w:w="120" w:type="dxa"/>
        <w:tblBorders>
          <w:top w:val="single" w:sz="6" w:space="0" w:color="CCD6E0"/>
          <w:bottom w:val="single" w:sz="6" w:space="0" w:color="CCD6E0"/>
          <w:insideH w:val="single" w:sz="6" w:space="0" w:color="CCD6E0"/>
          <w:insideV w:val="single" w:sz="6" w:space="0" w:color="CCD6E0"/>
        </w:tblBorders>
      </w:tblPr>
      <w:tblGrid>
        <w:gridCol w:w="2400"/>
        <w:gridCol w:w="6960"/>
      </w:tblGrid>
      <w:tr>
        <w:trPr>
          <w:tblHeader w:val="true"/>
        </w:trPr>
        <w:tc>
          <w:tcPr>
            <w:tcW w:type="dxa" w:w="2400"/>
            <w:tcMar>
              <w:top w:w="80" w:type="dxa"/>
              <w:bottom w:w="80" w:type="dxa"/>
              <w:start w:w="120" w:type="dxa"/>
              <w:end w:w="120" w:type="dxa"/>
            </w:tcMar>
            <w:vAlign w:val="center"/>
            <w:shd w:fill="0B2545"/>
          </w:tcPr>
          <w:p>
            <w:pPr>
              <w:spacing w:after="0"/>
            </w:pPr>
            <w:r>
              <w:rPr>
                <w:rFonts w:ascii="Calibri" w:hAnsi="Calibri"/>
                <w:b/>
                <w:color w:val="FFFFFF"/>
                <w:sz w:val="19"/>
              </w:rPr>
              <w:t>Capability</w:t>
            </w:r>
          </w:p>
        </w:tc>
        <w:tc>
          <w:tcPr>
            <w:tcW w:type="dxa" w:w="6960"/>
            <w:tcMar>
              <w:top w:w="80" w:type="dxa"/>
              <w:bottom w:w="80" w:type="dxa"/>
              <w:start w:w="120" w:type="dxa"/>
              <w:end w:w="120" w:type="dxa"/>
            </w:tcMar>
            <w:vAlign w:val="center"/>
            <w:shd w:fill="0B2545"/>
          </w:tcPr>
          <w:p>
            <w:pPr>
              <w:spacing w:after="0"/>
            </w:pPr>
            <w:r>
              <w:rPr>
                <w:rFonts w:ascii="Calibri" w:hAnsi="Calibri"/>
                <w:b/>
                <w:color w:val="FFFFFF"/>
                <w:sz w:val="19"/>
              </w:rPr>
              <w:t>Evidence demonstrated</w:t>
            </w:r>
          </w:p>
        </w:tc>
      </w:tr>
      <w:tr>
        <w:tc>
          <w:tcPr>
            <w:tcW w:type="dxa" w:w="2400"/>
            <w:tcMar>
              <w:top w:w="80" w:type="dxa"/>
              <w:bottom w:w="80" w:type="dxa"/>
              <w:start w:w="120" w:type="dxa"/>
              <w:end w:w="120" w:type="dxa"/>
            </w:tcMar>
            <w:vAlign w:val="center"/>
          </w:tcPr>
          <w:p>
            <w:pPr>
              <w:spacing w:after="20"/>
            </w:pPr>
            <w:r>
              <w:rPr>
                <w:rFonts w:ascii="Calibri" w:hAnsi="Calibri"/>
                <w:b/>
                <w:color w:val="202936"/>
                <w:sz w:val="19"/>
              </w:rPr>
              <w:t>AI engineering</w:t>
            </w:r>
          </w:p>
        </w:tc>
        <w:tc>
          <w:tcPr>
            <w:tcW w:type="dxa" w:w="6960"/>
            <w:tcMar>
              <w:top w:w="80" w:type="dxa"/>
              <w:bottom w:w="80" w:type="dxa"/>
              <w:start w:w="120" w:type="dxa"/>
              <w:end w:w="120" w:type="dxa"/>
            </w:tcMar>
            <w:vAlign w:val="center"/>
          </w:tcPr>
          <w:p>
            <w:pPr>
              <w:spacing w:after="20"/>
            </w:pPr>
            <w:r>
              <w:rPr>
                <w:rFonts w:ascii="Calibri" w:hAnsi="Calibri"/>
                <w:b w:val="0"/>
                <w:color w:val="202936"/>
                <w:sz w:val="19"/>
              </w:rPr>
              <w:t>Embedding inference, vector compatibility, RAG evaluation</w:t>
            </w:r>
          </w:p>
        </w:tc>
      </w:tr>
      <w:tr>
        <w:tc>
          <w:tcPr>
            <w:tcW w:type="dxa" w:w="2400"/>
            <w:shd w:fill="F4F6F9"/>
            <w:tcMar>
              <w:top w:w="80" w:type="dxa"/>
              <w:bottom w:w="80" w:type="dxa"/>
              <w:start w:w="120" w:type="dxa"/>
              <w:end w:w="120" w:type="dxa"/>
            </w:tcMar>
            <w:vAlign w:val="center"/>
          </w:tcPr>
          <w:p>
            <w:pPr>
              <w:spacing w:after="20"/>
            </w:pPr>
            <w:r>
              <w:rPr>
                <w:rFonts w:ascii="Calibri" w:hAnsi="Calibri"/>
                <w:b/>
                <w:color w:val="202936"/>
                <w:sz w:val="19"/>
              </w:rPr>
              <w:t>Production ML</w:t>
            </w:r>
          </w:p>
        </w:tc>
        <w:tc>
          <w:tcPr>
            <w:tcW w:type="dxa" w:w="6960"/>
            <w:shd w:fill="F4F6F9"/>
            <w:tcMar>
              <w:top w:w="80" w:type="dxa"/>
              <w:bottom w:w="80" w:type="dxa"/>
              <w:start w:w="120" w:type="dxa"/>
              <w:end w:w="120" w:type="dxa"/>
            </w:tcMar>
            <w:vAlign w:val="center"/>
          </w:tcPr>
          <w:p>
            <w:pPr>
              <w:spacing w:after="20"/>
            </w:pPr>
            <w:r>
              <w:rPr>
                <w:rFonts w:ascii="Calibri" w:hAnsi="Calibri"/>
                <w:b w:val="0"/>
                <w:color w:val="202936"/>
                <w:sz w:val="19"/>
              </w:rPr>
              <w:t>Model packaging, provenance, deterministic preprocessing</w:t>
            </w:r>
          </w:p>
        </w:tc>
      </w:tr>
      <w:tr>
        <w:tc>
          <w:tcPr>
            <w:tcW w:type="dxa" w:w="2400"/>
            <w:tcMar>
              <w:top w:w="80" w:type="dxa"/>
              <w:bottom w:w="80" w:type="dxa"/>
              <w:start w:w="120" w:type="dxa"/>
              <w:end w:w="120" w:type="dxa"/>
            </w:tcMar>
            <w:vAlign w:val="center"/>
          </w:tcPr>
          <w:p>
            <w:pPr>
              <w:spacing w:after="20"/>
            </w:pPr>
            <w:r>
              <w:rPr>
                <w:rFonts w:ascii="Calibri" w:hAnsi="Calibri"/>
                <w:b/>
                <w:color w:val="202936"/>
                <w:sz w:val="19"/>
              </w:rPr>
              <w:t>Cloud engineering</w:t>
            </w:r>
          </w:p>
        </w:tc>
        <w:tc>
          <w:tcPr>
            <w:tcW w:type="dxa" w:w="6960"/>
            <w:tcMar>
              <w:top w:w="80" w:type="dxa"/>
              <w:bottom w:w="80" w:type="dxa"/>
              <w:start w:w="120" w:type="dxa"/>
              <w:end w:w="120" w:type="dxa"/>
            </w:tcMar>
            <w:vAlign w:val="center"/>
          </w:tcPr>
          <w:p>
            <w:pPr>
              <w:spacing w:after="20"/>
            </w:pPr>
            <w:r>
              <w:rPr>
                <w:rFonts w:ascii="Calibri" w:hAnsi="Calibri"/>
                <w:b w:val="0"/>
                <w:color w:val="202936"/>
                <w:sz w:val="19"/>
              </w:rPr>
              <w:t>Serverless bundle optimization, deployment validation</w:t>
            </w:r>
          </w:p>
        </w:tc>
      </w:tr>
      <w:tr>
        <w:tc>
          <w:tcPr>
            <w:tcW w:type="dxa" w:w="2400"/>
            <w:shd w:fill="F4F6F9"/>
            <w:tcMar>
              <w:top w:w="80" w:type="dxa"/>
              <w:bottom w:w="80" w:type="dxa"/>
              <w:start w:w="120" w:type="dxa"/>
              <w:end w:w="120" w:type="dxa"/>
            </w:tcMar>
            <w:vAlign w:val="center"/>
          </w:tcPr>
          <w:p>
            <w:pPr>
              <w:spacing w:after="20"/>
            </w:pPr>
            <w:r>
              <w:rPr>
                <w:rFonts w:ascii="Calibri" w:hAnsi="Calibri"/>
                <w:b/>
                <w:color w:val="202936"/>
                <w:sz w:val="19"/>
              </w:rPr>
              <w:t>Quality engineering</w:t>
            </w:r>
          </w:p>
        </w:tc>
        <w:tc>
          <w:tcPr>
            <w:tcW w:type="dxa" w:w="6960"/>
            <w:shd w:fill="F4F6F9"/>
            <w:tcMar>
              <w:top w:w="80" w:type="dxa"/>
              <w:bottom w:w="80" w:type="dxa"/>
              <w:start w:w="120" w:type="dxa"/>
              <w:end w:w="120" w:type="dxa"/>
            </w:tcMar>
            <w:vAlign w:val="center"/>
          </w:tcPr>
          <w:p>
            <w:pPr>
              <w:spacing w:after="20"/>
            </w:pPr>
            <w:r>
              <w:rPr>
                <w:rFonts w:ascii="Calibri" w:hAnsi="Calibri"/>
                <w:b w:val="0"/>
                <w:color w:val="202936"/>
                <w:sz w:val="19"/>
              </w:rPr>
              <w:t>Parity baselines, ranking tests, live-corpus checks</w:t>
            </w:r>
          </w:p>
        </w:tc>
      </w:tr>
      <w:tr>
        <w:tc>
          <w:tcPr>
            <w:tcW w:type="dxa" w:w="2400"/>
            <w:tcMar>
              <w:top w:w="80" w:type="dxa"/>
              <w:bottom w:w="80" w:type="dxa"/>
              <w:start w:w="120" w:type="dxa"/>
              <w:end w:w="120" w:type="dxa"/>
            </w:tcMar>
            <w:vAlign w:val="center"/>
          </w:tcPr>
          <w:p>
            <w:pPr>
              <w:spacing w:after="20"/>
            </w:pPr>
            <w:r>
              <w:rPr>
                <w:rFonts w:ascii="Calibri" w:hAnsi="Calibri"/>
                <w:b/>
                <w:color w:val="202936"/>
                <w:sz w:val="19"/>
              </w:rPr>
              <w:t>Security engineering</w:t>
            </w:r>
          </w:p>
        </w:tc>
        <w:tc>
          <w:tcPr>
            <w:tcW w:type="dxa" w:w="6960"/>
            <w:tcMar>
              <w:top w:w="80" w:type="dxa"/>
              <w:bottom w:w="80" w:type="dxa"/>
              <w:start w:w="120" w:type="dxa"/>
              <w:end w:w="120" w:type="dxa"/>
            </w:tcMar>
            <w:vAlign w:val="center"/>
          </w:tcPr>
          <w:p>
            <w:pPr>
              <w:spacing w:after="20"/>
            </w:pPr>
            <w:r>
              <w:rPr>
                <w:rFonts w:ascii="Calibri" w:hAnsi="Calibri"/>
                <w:b w:val="0"/>
                <w:color w:val="202936"/>
                <w:sz w:val="19"/>
              </w:rPr>
              <w:t>Checksum verification, dependency reduction, CI policy cleanup</w:t>
            </w:r>
          </w:p>
        </w:tc>
      </w:tr>
      <w:tr>
        <w:tc>
          <w:tcPr>
            <w:tcW w:type="dxa" w:w="2400"/>
            <w:shd w:fill="F4F6F9"/>
            <w:tcMar>
              <w:top w:w="80" w:type="dxa"/>
              <w:bottom w:w="80" w:type="dxa"/>
              <w:start w:w="120" w:type="dxa"/>
              <w:end w:w="120" w:type="dxa"/>
            </w:tcMar>
            <w:vAlign w:val="center"/>
          </w:tcPr>
          <w:p>
            <w:pPr>
              <w:spacing w:after="20"/>
            </w:pPr>
            <w:r>
              <w:rPr>
                <w:rFonts w:ascii="Calibri" w:hAnsi="Calibri"/>
                <w:b/>
                <w:color w:val="202936"/>
                <w:sz w:val="19"/>
              </w:rPr>
              <w:t>Product judgment</w:t>
            </w:r>
          </w:p>
        </w:tc>
        <w:tc>
          <w:tcPr>
            <w:tcW w:type="dxa" w:w="6960"/>
            <w:shd w:fill="F4F6F9"/>
            <w:tcMar>
              <w:top w:w="80" w:type="dxa"/>
              <w:bottom w:w="80" w:type="dxa"/>
              <w:start w:w="120" w:type="dxa"/>
              <w:end w:w="120" w:type="dxa"/>
            </w:tcMar>
            <w:vAlign w:val="center"/>
          </w:tcPr>
          <w:p>
            <w:pPr>
              <w:spacing w:after="20"/>
            </w:pPr>
            <w:r>
              <w:rPr>
                <w:rFonts w:ascii="Calibri" w:hAnsi="Calibri"/>
                <w:b w:val="0"/>
                <w:color w:val="202936"/>
                <w:sz w:val="19"/>
              </w:rPr>
              <w:t>Protected answer quality and rejected unsafe optimization</w:t>
            </w:r>
          </w:p>
        </w:tc>
      </w:tr>
      <w:tr>
        <w:tc>
          <w:tcPr>
            <w:tcW w:type="dxa" w:w="2400"/>
            <w:tcMar>
              <w:top w:w="80" w:type="dxa"/>
              <w:bottom w:w="80" w:type="dxa"/>
              <w:start w:w="120" w:type="dxa"/>
              <w:end w:w="120" w:type="dxa"/>
            </w:tcMar>
            <w:vAlign w:val="center"/>
          </w:tcPr>
          <w:p>
            <w:pPr>
              <w:spacing w:after="20"/>
            </w:pPr>
            <w:r>
              <w:rPr>
                <w:rFonts w:ascii="Calibri" w:hAnsi="Calibri"/>
                <w:b/>
                <w:color w:val="202936"/>
                <w:sz w:val="19"/>
              </w:rPr>
              <w:t>Cost engineering</w:t>
            </w:r>
          </w:p>
        </w:tc>
        <w:tc>
          <w:tcPr>
            <w:tcW w:type="dxa" w:w="6960"/>
            <w:tcMar>
              <w:top w:w="80" w:type="dxa"/>
              <w:bottom w:w="80" w:type="dxa"/>
              <w:start w:w="120" w:type="dxa"/>
              <w:end w:w="120" w:type="dxa"/>
            </w:tcMar>
            <w:vAlign w:val="center"/>
          </w:tcPr>
          <w:p>
            <w:pPr>
              <w:spacing w:after="20"/>
            </w:pPr>
            <w:r>
              <w:rPr>
                <w:rFonts w:ascii="Calibri" w:hAnsi="Calibri"/>
                <w:b w:val="0"/>
                <w:color w:val="202936"/>
                <w:sz w:val="19"/>
              </w:rPr>
              <w:t>Improved resource efficiency without a new vendor or per-token fee</w:t>
            </w:r>
          </w:p>
        </w:tc>
      </w:tr>
    </w:tbl>
    <w:p>
      <w:pPr>
        <w:spacing w:after="0"/>
      </w:pPr>
    </w:p>
    <w:p>
      <w:pPr>
        <w:pStyle w:val="Heading2"/>
        <w:keepNext/>
      </w:pPr>
      <w:r>
        <w:t>The engineering judgment behind the result</w:t>
      </w:r>
    </w:p>
    <w:p>
      <w:r>
        <w:rPr>
          <w:rFonts w:ascii="Calibri" w:hAnsi="Calibri"/>
          <w:i w:val="0"/>
          <w:color w:val="202936"/>
          <w:sz w:val="22"/>
        </w:rPr>
        <w:t>This was not simply a dependency swap. The core work was identifying the behavior that had to remain invariant, reproducing it outside the original framework, building a measurable compatibility gate, and refusing an optimization that failed that gate. The result improved speed, deployability, security posture, and cost efficiency without weakening the research product.</w:t>
      </w:r>
    </w:p>
    <w:p>
      <w:r>
        <w:br w:type="page"/>
      </w:r>
    </w:p>
    <w:p>
      <w:pPr>
        <w:spacing w:before="0" w:after="120"/>
        <w:jc w:val="left"/>
      </w:pPr>
      <w:r>
        <w:rPr>
          <w:rFonts w:ascii="Calibri" w:hAnsi="Calibri"/>
          <w:b/>
          <w:color w:val="B17818"/>
          <w:sz w:val="19"/>
        </w:rPr>
        <w:t>PORTFOLIO-READY SUMMARY</w:t>
      </w:r>
    </w:p>
    <w:p>
      <w:pPr>
        <w:pStyle w:val="Heading1"/>
        <w:keepNext/>
      </w:pPr>
      <w:r>
        <w:t>Short case-study description</w:t>
      </w:r>
    </w:p>
    <w:tbl>
      <w:tblPr>
        <w:tblW w:type="dxa" w:w="9360"/>
        <w:jc w:val="left"/>
        <w:tblLayout w:type="fixed"/>
        <w:tblLook w:firstColumn="1" w:firstRow="1" w:lastColumn="0" w:lastRow="0" w:noHBand="0" w:noVBand="1" w:val="04A0"/>
        <w:tblInd w:w="120" w:type="dxa"/>
        <w:tblBorders>
          <w:top w:val="single" w:sz="8" w:space="0" w:color="2E74B5"/>
          <w:bottom w:val="single" w:sz="8" w:space="0" w:color="2E74B5"/>
          <w:insideH w:val="single" w:sz="8" w:space="0" w:color="2E74B5"/>
          <w:insideV w:val="single" w:sz="8" w:space="0" w:color="2E74B5"/>
        </w:tblBorders>
      </w:tblPr>
      <w:tblGrid>
        <w:gridCol w:w="9360"/>
      </w:tblGrid>
      <w:tr>
        <w:trPr>
          <w:tblHeader w:val="true"/>
        </w:trPr>
        <w:tc>
          <w:tcPr>
            <w:tcW w:type="dxa" w:w="9360"/>
            <w:tcMar>
              <w:top w:w="80" w:type="dxa"/>
              <w:bottom w:w="80" w:type="dxa"/>
              <w:start w:w="120" w:type="dxa"/>
              <w:end w:w="120" w:type="dxa"/>
            </w:tcMar>
            <w:vAlign w:val="center"/>
            <w:shd w:fill="E8EEF5"/>
          </w:tcPr>
          <w:p>
            <w:pPr>
              <w:spacing w:before="40" w:after="40" w:line="283" w:lineRule="auto"/>
              <w:jc w:val="left"/>
            </w:pPr>
            <w:r>
              <w:rPr>
                <w:rFonts w:ascii="Calibri" w:hAnsi="Calibri"/>
                <w:b/>
                <w:color w:val="1F4D78"/>
                <w:sz w:val="19"/>
              </w:rPr>
              <w:t xml:space="preserve">USE ON A PORTFOLIO PAGE  </w:t>
            </w:r>
            <w:r>
              <w:rPr>
                <w:rFonts w:ascii="Calibri" w:hAnsi="Calibri"/>
                <w:color w:val="202936"/>
                <w:sz w:val="21"/>
              </w:rPr>
              <w:t>Optimized a production RAG research API by replacing a 2.74 GB PyTorch/sentence-transformers runtime with a pinned, full-precision ONNX embedding pipeline. Reimplemented mean pooling and L2 normalization to preserve the existing 384-dimensional index, then proved compatibility across 25 representative queries and 40 corpus passages. Achieved 0.99999988 minimum cosine similarity, 100% top-10 retrieval overlap, an 85% smaller function bundle, and a cold TWEAK response reduction from approximately 13.8 seconds to 3.96 seconds—with no re-index, schema change, or new paid AI API.</w:t>
            </w:r>
          </w:p>
        </w:tc>
      </w:tr>
    </w:tbl>
    <w:p>
      <w:pPr>
        <w:spacing w:before="0" w:after="80"/>
      </w:pPr>
    </w:p>
    <w:p>
      <w:pPr>
        <w:pStyle w:val="Heading2"/>
        <w:keepNext/>
      </w:pPr>
      <w:r>
        <w:t>Résumé bullet</w:t>
      </w:r>
    </w:p>
    <w:tbl>
      <w:tblPr>
        <w:tblW w:type="dxa" w:w="9360"/>
        <w:jc w:val="left"/>
        <w:tblLayout w:type="fixed"/>
        <w:tblLook w:firstColumn="1" w:firstRow="1" w:lastColumn="0" w:lastRow="0" w:noHBand="0" w:noVBand="1" w:val="04A0"/>
        <w:tblInd w:w="120" w:type="dxa"/>
        <w:tblBorders>
          <w:top w:val="single" w:sz="8" w:space="0" w:color="CCD6E0"/>
          <w:bottom w:val="single" w:sz="8" w:space="0" w:color="CCD6E0"/>
          <w:insideH w:val="single" w:sz="8" w:space="0" w:color="CCD6E0"/>
          <w:insideV w:val="single" w:sz="8" w:space="0" w:color="CCD6E0"/>
        </w:tblBorders>
      </w:tblPr>
      <w:tblGrid>
        <w:gridCol w:w="9360"/>
      </w:tblGrid>
      <w:tr>
        <w:trPr>
          <w:tblHeader w:val="true"/>
        </w:trPr>
        <w:tc>
          <w:tcPr>
            <w:tcW w:type="dxa" w:w="9360"/>
            <w:tcMar>
              <w:top w:w="80" w:type="dxa"/>
              <w:bottom w:w="80" w:type="dxa"/>
              <w:start w:w="120" w:type="dxa"/>
              <w:end w:w="120" w:type="dxa"/>
            </w:tcMar>
            <w:vAlign w:val="center"/>
            <w:shd w:fill="F4F6F9"/>
          </w:tcPr>
          <w:p>
            <w:pPr>
              <w:spacing w:before="40" w:after="40" w:line="283" w:lineRule="auto"/>
              <w:jc w:val="left"/>
            </w:pPr>
            <w:r>
              <w:rPr>
                <w:rFonts w:ascii="Calibri" w:hAnsi="Calibri"/>
                <w:b/>
                <w:color w:val="1F4D78"/>
                <w:sz w:val="19"/>
              </w:rPr>
              <w:t xml:space="preserve">COPY-READY  </w:t>
            </w:r>
            <w:r>
              <w:rPr>
                <w:rFonts w:ascii="Calibri" w:hAnsi="Calibri"/>
                <w:color w:val="202936"/>
                <w:sz w:val="21"/>
              </w:rPr>
              <w:t>Modernized a production RAG embedding service from PyTorch to ONNX, reducing the serverless bundle 85% (2.74 GB → 398 MB) and cold request latency ~71% while maintaining 100% top-10 retrieval overlap across compatibility benchmarks.</w:t>
            </w:r>
          </w:p>
        </w:tc>
      </w:tr>
    </w:tbl>
    <w:p>
      <w:pPr>
        <w:spacing w:before="0" w:after="80"/>
      </w:pPr>
    </w:p>
    <w:p>
      <w:pPr>
        <w:pStyle w:val="Heading2"/>
        <w:keepNext/>
      </w:pPr>
      <w:r>
        <w:t>Interview talking points</w:t>
      </w:r>
    </w:p>
    <w:p>
      <w:pPr>
        <w:numPr>
          <w:ilvl w:val="0"/>
          <w:numId w:val="10"/>
        </w:numPr>
      </w:pPr>
      <w:r>
        <w:rPr>
          <w:rFonts w:ascii="Calibri" w:hAnsi="Calibri"/>
          <w:color w:val="202936"/>
          <w:sz w:val="22"/>
        </w:rPr>
        <w:t>Start with the product constraint: research quality and citations mattered more than raw benchmark speed.</w:t>
      </w:r>
    </w:p>
    <w:p>
      <w:pPr>
        <w:numPr>
          <w:ilvl w:val="0"/>
          <w:numId w:val="10"/>
        </w:numPr>
      </w:pPr>
      <w:r>
        <w:rPr>
          <w:rFonts w:ascii="Calibri" w:hAnsi="Calibri"/>
          <w:color w:val="202936"/>
          <w:sz w:val="22"/>
        </w:rPr>
        <w:t>Explain the technical invariant: same model, same preprocessing semantics, same 384-dimensional vector space.</w:t>
      </w:r>
    </w:p>
    <w:p>
      <w:pPr>
        <w:numPr>
          <w:ilvl w:val="0"/>
          <w:numId w:val="10"/>
        </w:numPr>
      </w:pPr>
      <w:r>
        <w:rPr>
          <w:rFonts w:ascii="Calibri" w:hAnsi="Calibri"/>
          <w:color w:val="202936"/>
          <w:sz w:val="22"/>
        </w:rPr>
        <w:t>Describe the proof: cosine parity, retrieval overlap, regression tests, and live-corpus validation.</w:t>
      </w:r>
    </w:p>
    <w:p>
      <w:pPr>
        <w:numPr>
          <w:ilvl w:val="0"/>
          <w:numId w:val="10"/>
        </w:numPr>
      </w:pPr>
      <w:r>
        <w:rPr>
          <w:rFonts w:ascii="Calibri" w:hAnsi="Calibri"/>
          <w:color w:val="202936"/>
          <w:sz w:val="22"/>
        </w:rPr>
        <w:t>Highlight the judgment call: rejected int8 quantization after it reduced top-10 overlap.</w:t>
      </w:r>
    </w:p>
    <w:p>
      <w:pPr>
        <w:numPr>
          <w:ilvl w:val="0"/>
          <w:numId w:val="10"/>
        </w:numPr>
      </w:pPr>
      <w:r>
        <w:rPr>
          <w:rFonts w:ascii="Calibri" w:hAnsi="Calibri"/>
          <w:color w:val="202936"/>
          <w:sz w:val="22"/>
        </w:rPr>
        <w:t>Close with impact: smaller deployment, faster requests, lower dependency risk, and no new variable cost.</w:t>
      </w:r>
    </w:p>
    <w:p>
      <w:pPr>
        <w:pStyle w:val="Heading2"/>
        <w:keepNext/>
      </w:pPr>
      <w:r>
        <w:t>Implementation record</w:t>
      </w:r>
    </w:p>
    <w:tbl>
      <w:tblPr>
        <w:tblW w:type="dxa" w:w="9360"/>
        <w:jc w:val="left"/>
        <w:tblLayout w:type="fixed"/>
        <w:tblLook w:firstColumn="1" w:firstRow="1" w:lastColumn="0" w:lastRow="0" w:noHBand="0" w:noVBand="1" w:val="04A0"/>
        <w:tblInd w:w="120" w:type="dxa"/>
        <w:tblBorders>
          <w:top w:val="single" w:sz="8" w:space="0" w:color="CCD6E0"/>
          <w:bottom w:val="single" w:sz="8" w:space="0" w:color="CCD6E0"/>
          <w:insideH w:val="single" w:sz="8" w:space="0" w:color="CCD6E0"/>
          <w:insideV w:val="single" w:sz="8" w:space="0" w:color="CCD6E0"/>
        </w:tblBorders>
      </w:tblPr>
      <w:tblGrid>
        <w:gridCol w:w="9360"/>
      </w:tblGrid>
      <w:tr>
        <w:trPr>
          <w:tblHeader w:val="true"/>
        </w:trPr>
        <w:tc>
          <w:tcPr>
            <w:tcW w:type="dxa" w:w="9360"/>
            <w:tcMar>
              <w:top w:w="80" w:type="dxa"/>
              <w:bottom w:w="80" w:type="dxa"/>
              <w:start w:w="120" w:type="dxa"/>
              <w:end w:w="120" w:type="dxa"/>
            </w:tcMar>
            <w:vAlign w:val="center"/>
            <w:shd w:fill="F4F6F9"/>
          </w:tcPr>
          <w:p>
            <w:pPr>
              <w:spacing w:before="40" w:after="40" w:line="283" w:lineRule="auto"/>
              <w:jc w:val="left"/>
            </w:pPr>
            <w:r>
              <w:rPr>
                <w:rFonts w:ascii="Calibri" w:hAnsi="Calibri"/>
                <w:b/>
                <w:color w:val="1F4D78"/>
                <w:sz w:val="19"/>
              </w:rPr>
              <w:t xml:space="preserve">RELEASE EVIDENCE  </w:t>
            </w:r>
            <w:r>
              <w:rPr>
                <w:rFonts w:ascii="Calibri" w:hAnsi="Calibri"/>
                <w:color w:val="202936"/>
                <w:sz w:val="21"/>
              </w:rPr>
              <w:t>Commit 5f4b255 — “Phase 8: optimize research embeddings with ONNX.” Production ready with ONNX configured; 182 tests passed and 3 were skipped.</w:t>
            </w:r>
          </w:p>
        </w:tc>
      </w:tr>
    </w:tbl>
    <w:p>
      <w:pPr>
        <w:spacing w:before="0"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b/>
        <w:color w:val="5C6673"/>
        <w:sz w:val="17"/>
      </w:rPr>
      <w:t xml:space="preserve">JOSIAH deGRASSE   •   </w:t>
    </w:r>
    <w:r>
      <w:rPr>
        <w:rFonts w:ascii="Calibri" w:hAnsi="Calibri"/>
        <w:color w:val="5C66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5" w:space="4" w:color="CCD6E0"/>
      </w:pBdr>
    </w:pPr>
    <w:r>
      <w:rPr>
        <w:rFonts w:ascii="Calibri" w:hAnsi="Calibri"/>
        <w:b/>
        <w:color w:val="5C6673"/>
        <w:sz w:val="17"/>
      </w:rPr>
      <w:t>AI ENGINEERING CASE STUDY   •   NFI RESEARCH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80"/>
        <w:spacing w:after="80" w:line="29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9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Replacing PyTorch with ONNX in a Production RAG API</dc:title>
  <dc:subject>AI engineering portfolio case study</dc:subject>
  <dc:creator>Josiah deGrasse</dc:creator>
  <cp:keywords>AI engineering, RAG, ONNX, embeddings, production optimization</cp:keywords>
  <dc:description>Portfolio case study generated from verified implementation and deployment evidence.</dc:description>
  <cp:lastModifiedBy/>
  <cp:revision>1</cp:revision>
  <dcterms:created xsi:type="dcterms:W3CDTF">2013-12-23T23:15:00Z</dcterms:created>
  <dcterms:modified xsi:type="dcterms:W3CDTF">2013-12-23T23:15:00Z</dcterms:modified>
  <cp:category/>
</cp:coreProperties>
</file>