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0BB5A0"/>
          <w:sz w:val="56"/>
          <w:szCs w:val="56"/>
        </w:rPr>
        <w:t xml:space="preserve">BAHAFIT</w:t>
      </w:r>
    </w:p>
    <w:p>
      <w:pPr>
        <w:spacing w:after="60"/>
        <w:jc w:val="center"/>
      </w:pPr>
      <w:r>
        <w:rPr>
          <w:b/>
          <w:bCs/>
          <w:color w:val="0F172A"/>
          <w:sz w:val="32"/>
          <w:szCs w:val="32"/>
        </w:rPr>
        <w:t xml:space="preserve">Community Feed — Hosting Cost Impact Analysis</w:t>
      </w:r>
    </w:p>
    <w:p>
      <w:pPr>
        <w:pBdr>
          <w:bottom w:val="single" w:color="0BB5A0" w:sz="8" w:space="8"/>
        </w:pBdr>
        <w:spacing w:after="300"/>
        <w:jc w:val="center"/>
      </w:pPr>
      <w:r>
        <w:rPr>
          <w:i/>
          <w:iCs/>
          <w:color w:val="475569"/>
          <w:sz w:val="22"/>
          <w:szCs w:val="22"/>
        </w:rPr>
        <w:t xml:space="preserve">Vercel · Sanity · MongoDB Atlas — prepared July 2026, from current published pricing</w:t>
      </w:r>
    </w:p>
    <w:p>
      <w:pPr>
        <w:pStyle w:val="Heading1"/>
        <w:spacing w:after="160" w:before="320"/>
      </w:pPr>
      <w:r>
        <w:rPr>
          <w:color w:val="0F172A"/>
        </w:rPr>
        <w:t xml:space="preserve">The Bottom Line</w:t>
      </w:r>
    </w:p>
    <w:p>
      <w:pPr>
        <w:spacing w:after="120"/>
      </w:pPr>
      <w:r>
        <w:rPr>
          <w:sz w:val="22"/>
          <w:szCs w:val="22"/>
        </w:rPr>
        <w:t xml:space="preserve">The community feed itself is cheap to run. Feed pages and API calls are tiny; what costs money is photos and videos. Because media is stored and served through Sanity’s CDN (not Vercel), the feed shifts almost all of its new cost onto Sanity’s bandwidth and storage meters — and both have generous free allowances (100 GB each per month).</w:t>
      </w:r>
    </w:p>
    <w:p>
      <w:pPr>
        <w:spacing w:after="120"/>
      </w:pPr>
      <w:r>
        <w:rPr>
          <w:b/>
          <w:bCs/>
          <w:sz w:val="22"/>
          <w:szCs w:val="22"/>
        </w:rPr>
        <w:t xml:space="preserve">Realistic expectation: </w:t>
      </w:r>
      <w:r>
        <w:rPr>
          <w:sz w:val="22"/>
          <w:szCs w:val="22"/>
        </w:rPr>
        <w:t xml:space="preserve">$20/month (a single Vercel Pro seat) until the feed reaches roughly 1,000–2,000 monthly active users, then costs climb mainly with media viewing. At 10,000 active users, expect roughly $350–400/month across all three services.</w:t>
      </w:r>
    </w:p>
    <w:p>
      <w:pPr>
        <w:spacing w:before="120"/>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00425"/>
                    </a:xfrm>
                    <a:prstGeom prst="rect">
                      <a:avLst/>
                    </a:prstGeom>
                  </pic:spPr>
                </pic:pic>
              </a:graphicData>
            </a:graphic>
          </wp:inline>
        </w:drawing>
      </w:r>
    </w:p>
    <w:p>
      <w:pPr>
        <w:spacing w:after="200"/>
        <w:jc w:val="center"/>
      </w:pPr>
      <w:r>
        <w:rPr>
          <w:i/>
          <w:iCs/>
          <w:color w:val="475569"/>
          <w:sz w:val="19"/>
          <w:szCs w:val="19"/>
        </w:rPr>
        <w:t xml:space="preserve">Estimated total monthly cost by community size (assumptions in Section 4).</w:t>
      </w:r>
    </w:p>
    <w:p>
      <w:pPr>
        <w:pStyle w:val="Heading1"/>
        <w:spacing w:after="160" w:before="320"/>
      </w:pPr>
      <w:r>
        <w:rPr>
          <w:color w:val="0F172A"/>
        </w:rPr>
        <w:t xml:space="preserve">1. How the Feed Uses Each Service</w:t>
      </w:r>
    </w:p>
    <w:p>
      <w:pPr>
        <w:spacing w:before="120"/>
        <w:jc w:val="center"/>
      </w:pPr>
      <w:r>
        <w:drawing>
          <wp:inline distT="0" distB="0" distL="0" distR="0">
            <wp:extent cx="40957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695575"/>
                    </a:xfrm>
                    <a:prstGeom prst="rect">
                      <a:avLst/>
                    </a:prstGeom>
                  </pic:spPr>
                </pic:pic>
              </a:graphicData>
            </a:graphic>
          </wp:inline>
        </w:drawing>
      </w:r>
    </w:p>
    <w:p>
      <w:pPr>
        <w:spacing w:after="200"/>
        <w:jc w:val="center"/>
      </w:pPr>
      <w:r>
        <w:rPr>
          <w:i/>
          <w:iCs/>
          <w:color w:val="475569"/>
          <w:sz w:val="19"/>
          <w:szCs w:val="19"/>
        </w:rPr>
        <w:t xml:space="preserve">By volume, media dominates — and media is served by Sanity, not Vercel.</w:t>
      </w:r>
    </w:p>
    <w:p>
      <w:pPr>
        <w:pStyle w:val="Heading2"/>
        <w:spacing w:after="120" w:before="240"/>
      </w:pPr>
      <w:r>
        <w:rPr>
          <w:color w:val="0BB5A0"/>
        </w:rPr>
        <w:t xml:space="preserve">Vercel (the website itself)</w:t>
      </w:r>
    </w:p>
    <w:p>
      <w:pPr>
        <w:pStyle w:val="ListParagraph"/>
        <w:numPr>
          <w:ilvl w:val="0"/>
          <w:numId w:val="2"/>
        </w:numPr>
        <w:spacing w:after="60"/>
      </w:pPr>
      <w:r>
        <w:rPr>
          <w:sz w:val="22"/>
          <w:szCs w:val="22"/>
        </w:rPr>
        <w:t xml:space="preserve">Every feed view calls small API functions (activities, stats, follows). These are measured in Active CPU, memory, and invocations — a feed request costs fractions of a cent and the Pro plan’s included usage plus $20 credit absorbs six figures of monthly feed requests.</w:t>
      </w:r>
    </w:p>
    <w:p>
      <w:pPr>
        <w:pStyle w:val="ListParagraph"/>
        <w:numPr>
          <w:ilvl w:val="0"/>
          <w:numId w:val="2"/>
        </w:numPr>
        <w:spacing w:after="60"/>
      </w:pPr>
      <w:r>
        <w:rPr>
          <w:sz w:val="22"/>
          <w:szCs w:val="22"/>
        </w:rPr>
        <w:t xml:space="preserve">Feed JSON is small (~30–50 KB per page load), a rounding error against Pro’s 1 TB of included Fast Data Transfer ($0.15/GB beyond).</w:t>
      </w:r>
    </w:p>
    <w:p>
      <w:pPr>
        <w:pStyle w:val="ListParagraph"/>
        <w:numPr>
          <w:ilvl w:val="0"/>
          <w:numId w:val="2"/>
        </w:numPr>
        <w:spacing w:after="60"/>
      </w:pPr>
      <w:r>
        <w:rPr>
          <w:sz w:val="22"/>
          <w:szCs w:val="22"/>
        </w:rPr>
        <w:t xml:space="preserve">Media uploads pass through a Vercel function on their way to Sanity (that’s why files are capped at 4 MB — Vercel’s ~4.5 MB request body limit), but upload compute time is trivial.</w:t>
      </w:r>
    </w:p>
    <w:p>
      <w:pPr>
        <w:pStyle w:val="ListParagraph"/>
        <w:numPr>
          <w:ilvl w:val="0"/>
          <w:numId w:val="2"/>
        </w:numPr>
        <w:spacing w:after="60"/>
      </w:pPr>
      <w:r>
        <w:rPr>
          <w:sz w:val="22"/>
          <w:szCs w:val="22"/>
        </w:rPr>
        <w:t xml:space="preserve">Note: the free Hobby plan is for non-commercial use. Since Bahafit sells tickets, Vercel Pro at $20/month/seat is the correct baseline regardless of the feed.</w:t>
      </w:r>
    </w:p>
    <w:p>
      <w:pPr>
        <w:pStyle w:val="Heading2"/>
        <w:spacing w:after="120" w:before="240"/>
      </w:pPr>
      <w:r>
        <w:rPr>
          <w:color w:val="0BB5A0"/>
        </w:rPr>
        <w:t xml:space="preserve">Sanity (all photos &amp; videos)</w:t>
      </w:r>
    </w:p>
    <w:p>
      <w:pPr>
        <w:pStyle w:val="ListParagraph"/>
        <w:numPr>
          <w:ilvl w:val="0"/>
          <w:numId w:val="2"/>
        </w:numPr>
        <w:spacing w:after="60"/>
      </w:pPr>
      <w:r>
        <w:rPr>
          <w:sz w:val="22"/>
          <w:szCs w:val="22"/>
        </w:rPr>
        <w:t xml:space="preserve">Storage: every uploaded photo/video lives in Sanity’s asset store — 100 GB included on both Free and Growth plans, then $0.50 per GB/month on Growth.</w:t>
      </w:r>
    </w:p>
    <w:p>
      <w:pPr>
        <w:pStyle w:val="ListParagraph"/>
        <w:numPr>
          <w:ilvl w:val="0"/>
          <w:numId w:val="2"/>
        </w:numPr>
        <w:spacing w:after="60"/>
      </w:pPr>
      <w:r>
        <w:rPr>
          <w:sz w:val="22"/>
          <w:szCs w:val="22"/>
        </w:rPr>
        <w:t xml:space="preserve">Bandwidth: every time media appears in someone’s feed, bytes are served from Sanity’s CDN — 100 GB/month included, then $0.30 per GB on Growth ($15/seat/month).</w:t>
      </w:r>
    </w:p>
    <w:p>
      <w:pPr>
        <w:pStyle w:val="ListParagraph"/>
        <w:numPr>
          <w:ilvl w:val="0"/>
          <w:numId w:val="2"/>
        </w:numPr>
        <w:spacing w:after="60"/>
      </w:pPr>
      <w:r>
        <w:rPr>
          <w:sz w:val="22"/>
          <w:szCs w:val="22"/>
        </w:rPr>
        <w:t xml:space="preserve">The Free plan has no pay-as-you-go: exceed its quotas and you must upgrade to Growth. Treat Growth as inevitable once the feed gets real traction.</w:t>
      </w:r>
    </w:p>
    <w:p>
      <w:pPr>
        <w:pStyle w:val="ListParagraph"/>
        <w:numPr>
          <w:ilvl w:val="0"/>
          <w:numId w:val="2"/>
        </w:numPr>
        <w:spacing w:after="60"/>
      </w:pPr>
      <w:r>
        <w:rPr>
          <w:sz w:val="22"/>
          <w:szCs w:val="22"/>
        </w:rPr>
        <w:t xml:space="preserve">Built-in cost saver (already implemented): feed thumbnails request resized, compressed versions via Sanity’s image pipeline (?w=800&amp;auto=format), cutting image bandwidth by roughly 60–80% versus serving originals.</w:t>
      </w:r>
    </w:p>
    <w:p>
      <w:pPr>
        <w:pStyle w:val="Heading2"/>
        <w:spacing w:after="120" w:before="240"/>
      </w:pPr>
      <w:r>
        <w:rPr>
          <w:color w:val="0BB5A0"/>
        </w:rPr>
        <w:t xml:space="preserve">MongoDB Atlas (feed data)</w:t>
      </w:r>
    </w:p>
    <w:p>
      <w:pPr>
        <w:pStyle w:val="ListParagraph"/>
        <w:numPr>
          <w:ilvl w:val="0"/>
          <w:numId w:val="2"/>
        </w:numPr>
        <w:spacing w:after="60"/>
      </w:pPr>
      <w:r>
        <w:rPr>
          <w:sz w:val="22"/>
          <w:szCs w:val="22"/>
        </w:rPr>
        <w:t xml:space="preserve">Workouts, kudos, comments, and follows are small text records (~1 KB each). The free M0 cluster (512 MB) comfortably holds hundreds of thousands of activities.</w:t>
      </w:r>
    </w:p>
    <w:p>
      <w:pPr>
        <w:pStyle w:val="ListParagraph"/>
        <w:numPr>
          <w:ilvl w:val="0"/>
          <w:numId w:val="2"/>
        </w:numPr>
        <w:spacing w:after="60"/>
      </w:pPr>
      <w:r>
        <w:rPr>
          <w:sz w:val="22"/>
          <w:szCs w:val="22"/>
        </w:rPr>
        <w:t xml:space="preserve">Upgrade drivers are traffic and reliability, not size: budget ~$8–30/month (Flex) around 2,000 active users and ~$60/month (M10) at 10,000.</w:t>
      </w:r>
    </w:p>
    <w:p>
      <w:pPr>
        <w:pStyle w:val="Heading1"/>
        <w:spacing w:after="160" w:before="320"/>
      </w:pPr>
      <w:r>
        <w:rPr>
          <w:color w:val="0F172A"/>
        </w:rPr>
        <w:t xml:space="preserve">2. Cost Scenarios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000"/>
        <w:gridCol w:w="1600"/>
        <w:gridCol w:w="1560"/>
      </w:tblGrid>
      <w:tr>
        <w:trPr>
          <w:tblHeader/>
        </w:trPr>
        <w:tc>
          <w:tcPr>
            <w:tcW w:type="dxa" w:w="2300"/>
            <w:shd w:fill="F0FDFA" w:val="clear"/>
            <w:tcMar>
              <w:top w:type="dxa" w:w="80"/>
              <w:left w:type="dxa" w:w="120"/>
              <w:bottom w:type="dxa" w:w="80"/>
              <w:right w:type="dxa" w:w="120"/>
            </w:tcMar>
          </w:tcPr>
          <w:p>
            <w:r>
              <w:rPr>
                <w:b/>
                <w:bCs/>
                <w:sz w:val="20"/>
                <w:szCs w:val="20"/>
              </w:rPr>
              <w:t xml:space="preserve">Monthly active users</w:t>
            </w:r>
          </w:p>
        </w:tc>
        <w:tc>
          <w:tcPr>
            <w:tcW w:type="dxa" w:w="1900"/>
            <w:shd w:fill="F0FDFA" w:val="clear"/>
            <w:tcMar>
              <w:top w:type="dxa" w:w="80"/>
              <w:left w:type="dxa" w:w="120"/>
              <w:bottom w:type="dxa" w:w="80"/>
              <w:right w:type="dxa" w:w="120"/>
            </w:tcMar>
          </w:tcPr>
          <w:p>
            <w:r>
              <w:rPr>
                <w:b/>
                <w:bCs/>
                <w:sz w:val="20"/>
                <w:szCs w:val="20"/>
              </w:rPr>
              <w:t xml:space="preserve">Vercel</w:t>
            </w:r>
          </w:p>
        </w:tc>
        <w:tc>
          <w:tcPr>
            <w:tcW w:type="dxa" w:w="3000"/>
            <w:shd w:fill="F0FDFA" w:val="clear"/>
            <w:tcMar>
              <w:top w:type="dxa" w:w="80"/>
              <w:left w:type="dxa" w:w="120"/>
              <w:bottom w:type="dxa" w:w="80"/>
              <w:right w:type="dxa" w:w="120"/>
            </w:tcMar>
          </w:tcPr>
          <w:p>
            <w:r>
              <w:rPr>
                <w:b/>
                <w:bCs/>
                <w:sz w:val="20"/>
                <w:szCs w:val="20"/>
              </w:rPr>
              <w:t xml:space="preserve">Sanity</w:t>
            </w:r>
          </w:p>
        </w:tc>
        <w:tc>
          <w:tcPr>
            <w:tcW w:type="dxa" w:w="1600"/>
            <w:shd w:fill="F0FDFA" w:val="clear"/>
            <w:tcMar>
              <w:top w:type="dxa" w:w="80"/>
              <w:left w:type="dxa" w:w="120"/>
              <w:bottom w:type="dxa" w:w="80"/>
              <w:right w:type="dxa" w:w="120"/>
            </w:tcMar>
          </w:tcPr>
          <w:p>
            <w:r>
              <w:rPr>
                <w:b/>
                <w:bCs/>
                <w:sz w:val="20"/>
                <w:szCs w:val="20"/>
              </w:rPr>
              <w:t xml:space="preserve">MongoDB</w:t>
            </w:r>
          </w:p>
        </w:tc>
        <w:tc>
          <w:tcPr>
            <w:tcW w:type="dxa" w:w="1560"/>
            <w:shd w:fill="F0FDFA" w:val="clear"/>
            <w:tcMar>
              <w:top w:type="dxa" w:w="80"/>
              <w:left w:type="dxa" w:w="120"/>
              <w:bottom w:type="dxa" w:w="80"/>
              <w:right w:type="dxa" w:w="120"/>
            </w:tcMar>
          </w:tcPr>
          <w:p>
            <w:r>
              <w:rPr>
                <w:b/>
                <w:bCs/>
                <w:sz w:val="20"/>
                <w:szCs w:val="20"/>
              </w:rPr>
              <w:t xml:space="preserve">Est. total / month</w:t>
            </w:r>
          </w:p>
        </w:tc>
      </w:tr>
      <w:tr>
        <w:tc>
          <w:tcPr>
            <w:tcW w:type="dxa" w:w="2300"/>
            <w:tcMar>
              <w:top w:type="dxa" w:w="80"/>
              <w:left w:type="dxa" w:w="120"/>
              <w:bottom w:type="dxa" w:w="80"/>
              <w:right w:type="dxa" w:w="120"/>
            </w:tcMar>
          </w:tcPr>
          <w:p>
            <w:r>
              <w:rPr>
                <w:b w:val="false"/>
                <w:bCs w:val="false"/>
                <w:sz w:val="20"/>
                <w:szCs w:val="20"/>
              </w:rPr>
              <w:t xml:space="preserve">100</w:t>
            </w:r>
          </w:p>
        </w:tc>
        <w:tc>
          <w:tcPr>
            <w:tcW w:type="dxa" w:w="1900"/>
            <w:tcMar>
              <w:top w:type="dxa" w:w="80"/>
              <w:left w:type="dxa" w:w="120"/>
              <w:bottom w:type="dxa" w:w="80"/>
              <w:right w:type="dxa" w:w="120"/>
            </w:tcMar>
          </w:tcPr>
          <w:p>
            <w:r>
              <w:rPr>
                <w:b w:val="false"/>
                <w:bCs w:val="false"/>
                <w:sz w:val="20"/>
                <w:szCs w:val="20"/>
              </w:rPr>
              <w:t xml:space="preserve">$20 (Pro seat)</w:t>
            </w:r>
          </w:p>
        </w:tc>
        <w:tc>
          <w:tcPr>
            <w:tcW w:type="dxa" w:w="3000"/>
            <w:tcMar>
              <w:top w:type="dxa" w:w="80"/>
              <w:left w:type="dxa" w:w="120"/>
              <w:bottom w:type="dxa" w:w="80"/>
              <w:right w:type="dxa" w:w="120"/>
            </w:tcMar>
          </w:tcPr>
          <w:p>
            <w:r>
              <w:rPr>
                <w:b w:val="false"/>
                <w:bCs w:val="false"/>
                <w:sz w:val="20"/>
                <w:szCs w:val="20"/>
              </w:rPr>
              <w:t xml:space="preserve">$0 (within free tier)</w:t>
            </w:r>
          </w:p>
        </w:tc>
        <w:tc>
          <w:tcPr>
            <w:tcW w:type="dxa" w:w="1600"/>
            <w:tcMar>
              <w:top w:type="dxa" w:w="80"/>
              <w:left w:type="dxa" w:w="120"/>
              <w:bottom w:type="dxa" w:w="80"/>
              <w:right w:type="dxa" w:w="120"/>
            </w:tcMar>
          </w:tcPr>
          <w:p>
            <w:r>
              <w:rPr>
                <w:b w:val="false"/>
                <w:bCs w:val="false"/>
                <w:sz w:val="20"/>
                <w:szCs w:val="20"/>
              </w:rPr>
              <w:t xml:space="preserve">$0 (M0 free)</w:t>
            </w:r>
          </w:p>
        </w:tc>
        <w:tc>
          <w:tcPr>
            <w:tcW w:type="dxa" w:w="1560"/>
            <w:tcMar>
              <w:top w:type="dxa" w:w="80"/>
              <w:left w:type="dxa" w:w="120"/>
              <w:bottom w:type="dxa" w:w="80"/>
              <w:right w:type="dxa" w:w="120"/>
            </w:tcMar>
          </w:tcPr>
          <w:p>
            <w:r>
              <w:rPr>
                <w:b w:val="false"/>
                <w:bCs w:val="false"/>
                <w:sz w:val="20"/>
                <w:szCs w:val="20"/>
              </w:rPr>
              <w:t xml:space="preserve">~$20</w:t>
            </w:r>
          </w:p>
        </w:tc>
      </w:tr>
      <w:tr>
        <w:tc>
          <w:tcPr>
            <w:tcW w:type="dxa" w:w="2300"/>
            <w:tcMar>
              <w:top w:type="dxa" w:w="80"/>
              <w:left w:type="dxa" w:w="120"/>
              <w:bottom w:type="dxa" w:w="80"/>
              <w:right w:type="dxa" w:w="120"/>
            </w:tcMar>
          </w:tcPr>
          <w:p>
            <w:r>
              <w:rPr>
                <w:b w:val="false"/>
                <w:bCs w:val="false"/>
                <w:sz w:val="20"/>
                <w:szCs w:val="20"/>
              </w:rPr>
              <w:t xml:space="preserve">500</w:t>
            </w:r>
          </w:p>
        </w:tc>
        <w:tc>
          <w:tcPr>
            <w:tcW w:type="dxa" w:w="1900"/>
            <w:tcMar>
              <w:top w:type="dxa" w:w="80"/>
              <w:left w:type="dxa" w:w="120"/>
              <w:bottom w:type="dxa" w:w="80"/>
              <w:right w:type="dxa" w:w="120"/>
            </w:tcMar>
          </w:tcPr>
          <w:p>
            <w:r>
              <w:rPr>
                <w:b w:val="false"/>
                <w:bCs w:val="false"/>
                <w:sz w:val="20"/>
                <w:szCs w:val="20"/>
              </w:rPr>
              <w:t xml:space="preserve">$20</w:t>
            </w:r>
          </w:p>
        </w:tc>
        <w:tc>
          <w:tcPr>
            <w:tcW w:type="dxa" w:w="3000"/>
            <w:tcMar>
              <w:top w:type="dxa" w:w="80"/>
              <w:left w:type="dxa" w:w="120"/>
              <w:bottom w:type="dxa" w:w="80"/>
              <w:right w:type="dxa" w:w="120"/>
            </w:tcMar>
          </w:tcPr>
          <w:p>
            <w:r>
              <w:rPr>
                <w:b w:val="false"/>
                <w:bCs w:val="false"/>
                <w:sz w:val="20"/>
                <w:szCs w:val="20"/>
              </w:rPr>
              <w:t xml:space="preserve">$0 — ~50 GB bandwidth, still free</w:t>
            </w:r>
          </w:p>
        </w:tc>
        <w:tc>
          <w:tcPr>
            <w:tcW w:type="dxa" w:w="1600"/>
            <w:tcMar>
              <w:top w:type="dxa" w:w="80"/>
              <w:left w:type="dxa" w:w="120"/>
              <w:bottom w:type="dxa" w:w="80"/>
              <w:right w:type="dxa" w:w="120"/>
            </w:tcMar>
          </w:tcPr>
          <w:p>
            <w:r>
              <w:rPr>
                <w:b w:val="false"/>
                <w:bCs w:val="false"/>
                <w:sz w:val="20"/>
                <w:szCs w:val="20"/>
              </w:rPr>
              <w:t xml:space="preserve">$0</w:t>
            </w:r>
          </w:p>
        </w:tc>
        <w:tc>
          <w:tcPr>
            <w:tcW w:type="dxa" w:w="1560"/>
            <w:tcMar>
              <w:top w:type="dxa" w:w="80"/>
              <w:left w:type="dxa" w:w="120"/>
              <w:bottom w:type="dxa" w:w="80"/>
              <w:right w:type="dxa" w:w="120"/>
            </w:tcMar>
          </w:tcPr>
          <w:p>
            <w:r>
              <w:rPr>
                <w:b w:val="false"/>
                <w:bCs w:val="false"/>
                <w:sz w:val="20"/>
                <w:szCs w:val="20"/>
              </w:rPr>
              <w:t xml:space="preserve">~$20</w:t>
            </w:r>
          </w:p>
        </w:tc>
      </w:tr>
      <w:tr>
        <w:tc>
          <w:tcPr>
            <w:tcW w:type="dxa" w:w="2300"/>
            <w:tcMar>
              <w:top w:type="dxa" w:w="80"/>
              <w:left w:type="dxa" w:w="120"/>
              <w:bottom w:type="dxa" w:w="80"/>
              <w:right w:type="dxa" w:w="120"/>
            </w:tcMar>
          </w:tcPr>
          <w:p>
            <w:r>
              <w:rPr>
                <w:b w:val="false"/>
                <w:bCs w:val="false"/>
                <w:sz w:val="20"/>
                <w:szCs w:val="20"/>
              </w:rPr>
              <w:t xml:space="preserve">2,000</w:t>
            </w:r>
          </w:p>
        </w:tc>
        <w:tc>
          <w:tcPr>
            <w:tcW w:type="dxa" w:w="1900"/>
            <w:tcMar>
              <w:top w:type="dxa" w:w="80"/>
              <w:left w:type="dxa" w:w="120"/>
              <w:bottom w:type="dxa" w:w="80"/>
              <w:right w:type="dxa" w:w="120"/>
            </w:tcMar>
          </w:tcPr>
          <w:p>
            <w:r>
              <w:rPr>
                <w:b w:val="false"/>
                <w:bCs w:val="false"/>
                <w:sz w:val="20"/>
                <w:szCs w:val="20"/>
              </w:rPr>
              <w:t xml:space="preserve">$20</w:t>
            </w:r>
          </w:p>
        </w:tc>
        <w:tc>
          <w:tcPr>
            <w:tcW w:type="dxa" w:w="3000"/>
            <w:tcMar>
              <w:top w:type="dxa" w:w="80"/>
              <w:left w:type="dxa" w:w="120"/>
              <w:bottom w:type="dxa" w:w="80"/>
              <w:right w:type="dxa" w:w="120"/>
            </w:tcMar>
          </w:tcPr>
          <w:p>
            <w:r>
              <w:rPr>
                <w:b w:val="false"/>
                <w:bCs w:val="false"/>
                <w:sz w:val="20"/>
                <w:szCs w:val="20"/>
              </w:rPr>
              <w:t xml:space="preserve">~$45 (Growth $15 + ~100 GB overage)</w:t>
            </w:r>
          </w:p>
        </w:tc>
        <w:tc>
          <w:tcPr>
            <w:tcW w:type="dxa" w:w="1600"/>
            <w:tcMar>
              <w:top w:type="dxa" w:w="80"/>
              <w:left w:type="dxa" w:w="120"/>
              <w:bottom w:type="dxa" w:w="80"/>
              <w:right w:type="dxa" w:w="120"/>
            </w:tcMar>
          </w:tcPr>
          <w:p>
            <w:r>
              <w:rPr>
                <w:b w:val="false"/>
                <w:bCs w:val="false"/>
                <w:sz w:val="20"/>
                <w:szCs w:val="20"/>
              </w:rPr>
              <w:t xml:space="preserve">~$8 (Flex)</w:t>
            </w:r>
          </w:p>
        </w:tc>
        <w:tc>
          <w:tcPr>
            <w:tcW w:type="dxa" w:w="1560"/>
            <w:tcMar>
              <w:top w:type="dxa" w:w="80"/>
              <w:left w:type="dxa" w:w="120"/>
              <w:bottom w:type="dxa" w:w="80"/>
              <w:right w:type="dxa" w:w="120"/>
            </w:tcMar>
          </w:tcPr>
          <w:p>
            <w:r>
              <w:rPr>
                <w:b w:val="false"/>
                <w:bCs w:val="false"/>
                <w:sz w:val="20"/>
                <w:szCs w:val="20"/>
              </w:rPr>
              <w:t xml:space="preserve">~$75</w:t>
            </w:r>
          </w:p>
        </w:tc>
      </w:tr>
      <w:tr>
        <w:tc>
          <w:tcPr>
            <w:tcW w:type="dxa" w:w="2300"/>
            <w:tcMar>
              <w:top w:type="dxa" w:w="80"/>
              <w:left w:type="dxa" w:w="120"/>
              <w:bottom w:type="dxa" w:w="80"/>
              <w:right w:type="dxa" w:w="120"/>
            </w:tcMar>
          </w:tcPr>
          <w:p>
            <w:r>
              <w:rPr>
                <w:b w:val="false"/>
                <w:bCs w:val="false"/>
                <w:sz w:val="20"/>
                <w:szCs w:val="20"/>
              </w:rPr>
              <w:t xml:space="preserve">10,000</w:t>
            </w:r>
          </w:p>
        </w:tc>
        <w:tc>
          <w:tcPr>
            <w:tcW w:type="dxa" w:w="1900"/>
            <w:tcMar>
              <w:top w:type="dxa" w:w="80"/>
              <w:left w:type="dxa" w:w="120"/>
              <w:bottom w:type="dxa" w:w="80"/>
              <w:right w:type="dxa" w:w="120"/>
            </w:tcMar>
          </w:tcPr>
          <w:p>
            <w:r>
              <w:rPr>
                <w:b w:val="false"/>
                <w:bCs w:val="false"/>
                <w:sz w:val="20"/>
                <w:szCs w:val="20"/>
              </w:rPr>
              <w:t xml:space="preserve">~$30 (some usage beyond credit)</w:t>
            </w:r>
          </w:p>
        </w:tc>
        <w:tc>
          <w:tcPr>
            <w:tcW w:type="dxa" w:w="3000"/>
            <w:tcMar>
              <w:top w:type="dxa" w:w="80"/>
              <w:left w:type="dxa" w:w="120"/>
              <w:bottom w:type="dxa" w:w="80"/>
              <w:right w:type="dxa" w:w="120"/>
            </w:tcMar>
          </w:tcPr>
          <w:p>
            <w:r>
              <w:rPr>
                <w:b w:val="false"/>
                <w:bCs w:val="false"/>
                <w:sz w:val="20"/>
                <w:szCs w:val="20"/>
              </w:rPr>
              <w:t xml:space="preserve">~$285 (Growth + ~900 GB overage)</w:t>
            </w:r>
          </w:p>
        </w:tc>
        <w:tc>
          <w:tcPr>
            <w:tcW w:type="dxa" w:w="1600"/>
            <w:tcMar>
              <w:top w:type="dxa" w:w="80"/>
              <w:left w:type="dxa" w:w="120"/>
              <w:bottom w:type="dxa" w:w="80"/>
              <w:right w:type="dxa" w:w="120"/>
            </w:tcMar>
          </w:tcPr>
          <w:p>
            <w:r>
              <w:rPr>
                <w:b w:val="false"/>
                <w:bCs w:val="false"/>
                <w:sz w:val="20"/>
                <w:szCs w:val="20"/>
              </w:rPr>
              <w:t xml:space="preserve">~$57 (M10)</w:t>
            </w:r>
          </w:p>
        </w:tc>
        <w:tc>
          <w:tcPr>
            <w:tcW w:type="dxa" w:w="1560"/>
            <w:tcMar>
              <w:top w:type="dxa" w:w="80"/>
              <w:left w:type="dxa" w:w="120"/>
              <w:bottom w:type="dxa" w:w="80"/>
              <w:right w:type="dxa" w:w="120"/>
            </w:tcMar>
          </w:tcPr>
          <w:p>
            <w:r>
              <w:rPr>
                <w:b w:val="false"/>
                <w:bCs w:val="false"/>
                <w:sz w:val="20"/>
                <w:szCs w:val="20"/>
              </w:rPr>
              <w:t xml:space="preserve">~$370</w:t>
            </w:r>
          </w:p>
        </w:tc>
      </w:tr>
    </w:tbl>
    <w:p>
      <w:pPr>
        <w:spacing w:after="140"/>
      </w:pPr>
    </w:p>
    <w:p>
      <w:pPr>
        <w:spacing w:after="120"/>
      </w:pPr>
      <w:r>
        <w:rPr>
          <w:sz w:val="22"/>
          <w:szCs w:val="22"/>
        </w:rPr>
        <w:t xml:space="preserve">Per-user economics stay healthy: even at 10,000 active users the infrastructure cost is under $0.04 per user per month — easily covered if even a tiny fraction of that audience buys event tickets (9% + 1% checkout fees).</w:t>
      </w:r>
    </w:p>
    <w:p>
      <w:pPr>
        <w:pStyle w:val="Heading1"/>
        <w:spacing w:after="160" w:before="320"/>
      </w:pPr>
      <w:r>
        <w:rPr>
          <w:color w:val="0F172A"/>
        </w:rPr>
        <w:t xml:space="preserve">3. The One Cost That Compounds: Storage</w:t>
      </w:r>
    </w:p>
    <w:p>
      <w:pPr>
        <w:spacing w:after="120"/>
      </w:pPr>
      <w:r>
        <w:rPr>
          <w:sz w:val="22"/>
          <w:szCs w:val="22"/>
        </w:rPr>
        <w:t xml:space="preserve">Bandwidth resets every month, but stored media only grows. At 2,000 active users posting ~20 GB of new media per month, the included 100 GB is consumed by around month five:</w:t>
      </w:r>
    </w:p>
    <w:p>
      <w:pPr>
        <w:spacing w:before="120"/>
        <w:jc w:val="center"/>
      </w:pPr>
      <w:r>
        <w:drawing>
          <wp:inline distT="0" distB="0" distL="0" distR="0">
            <wp:extent cx="5905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95625"/>
                    </a:xfrm>
                    <a:prstGeom prst="rect">
                      <a:avLst/>
                    </a:prstGeom>
                  </pic:spPr>
                </pic:pic>
              </a:graphicData>
            </a:graphic>
          </wp:inline>
        </w:drawing>
      </w:r>
    </w:p>
    <w:p>
      <w:pPr>
        <w:spacing w:after="200"/>
        <w:jc w:val="center"/>
      </w:pPr>
      <w:r>
        <w:rPr>
          <w:i/>
          <w:iCs/>
          <w:color w:val="475569"/>
          <w:sz w:val="19"/>
          <w:szCs w:val="19"/>
        </w:rPr>
        <w:t xml:space="preserve">Cumulative media storage vs. the 100 GB included quota.</w:t>
      </w:r>
    </w:p>
    <w:p>
      <w:pPr>
        <w:spacing w:after="120"/>
      </w:pPr>
      <w:r>
        <w:rPr>
          <w:sz w:val="22"/>
          <w:szCs w:val="22"/>
        </w:rPr>
        <w:t xml:space="preserve">Recommended mitigations, in order of value:</w:t>
      </w:r>
    </w:p>
    <w:p>
      <w:pPr>
        <w:pStyle w:val="ListParagraph"/>
        <w:numPr>
          <w:ilvl w:val="0"/>
          <w:numId w:val="2"/>
        </w:numPr>
        <w:spacing w:after="60"/>
      </w:pPr>
      <w:r>
        <w:rPr>
          <w:sz w:val="22"/>
          <w:szCs w:val="22"/>
        </w:rPr>
        <w:t xml:space="preserve">Keep the 4 MB per-file cap (already enforced) — it bounds worst-case growth and matches Vercel’s upload limit anyway.</w:t>
      </w:r>
    </w:p>
    <w:p>
      <w:pPr>
        <w:pStyle w:val="ListParagraph"/>
        <w:numPr>
          <w:ilvl w:val="0"/>
          <w:numId w:val="2"/>
        </w:numPr>
        <w:spacing w:after="60"/>
      </w:pPr>
      <w:r>
        <w:rPr>
          <w:sz w:val="22"/>
          <w:szCs w:val="22"/>
        </w:rPr>
        <w:t xml:space="preserve">Add a retention/cleanup job later: delete media assets when an activity is deleted (URLs are stored with assetId, so this is straightforward), and consider pruning media on activities older than 18–24 months.</w:t>
      </w:r>
    </w:p>
    <w:p>
      <w:pPr>
        <w:pStyle w:val="ListParagraph"/>
        <w:numPr>
          <w:ilvl w:val="0"/>
          <w:numId w:val="2"/>
        </w:numPr>
        <w:spacing w:after="60"/>
      </w:pPr>
      <w:r>
        <w:rPr>
          <w:sz w:val="22"/>
          <w:szCs w:val="22"/>
        </w:rPr>
        <w:t xml:space="preserve">If video becomes popular, move video (only) to a dedicated provider with per-minute pricing (e.g., Mux or Cloudflare Stream) — image economics on Sanity remain excellent.</w:t>
      </w:r>
    </w:p>
    <w:p>
      <w:pPr>
        <w:pStyle w:val="Heading1"/>
        <w:spacing w:after="160" w:before="320"/>
      </w:pPr>
      <w:r>
        <w:rPr>
          <w:color w:val="0F172A"/>
        </w:rPr>
        <w:t xml:space="preserve">4. Assumptions Behind the Numbers</w:t>
      </w:r>
    </w:p>
    <w:p>
      <w:pPr>
        <w:pStyle w:val="ListParagraph"/>
        <w:numPr>
          <w:ilvl w:val="0"/>
          <w:numId w:val="2"/>
        </w:numPr>
        <w:spacing w:after="60"/>
      </w:pPr>
      <w:r>
        <w:rPr>
          <w:sz w:val="22"/>
          <w:szCs w:val="22"/>
        </w:rPr>
        <w:t xml:space="preserve">An "active user" logs ~8 workouts/month; 40% of workouts include ~1.5 media files averaging 2 MB → ~10 MB uploaded per user/month.</w:t>
      </w:r>
    </w:p>
    <w:p>
      <w:pPr>
        <w:pStyle w:val="ListParagraph"/>
        <w:numPr>
          <w:ilvl w:val="0"/>
          <w:numId w:val="2"/>
        </w:numPr>
        <w:spacing w:after="60"/>
      </w:pPr>
      <w:r>
        <w:rPr>
          <w:sz w:val="22"/>
          <w:szCs w:val="22"/>
        </w:rPr>
        <w:t xml:space="preserve">Each active user browses the feed ~20 times/month, viewing ~12 media thumbnails per session at ~120 KB (optimized) plus occasional short video plays → ~0.1 GB of media bandwidth per user/month.</w:t>
      </w:r>
    </w:p>
    <w:p>
      <w:pPr>
        <w:pStyle w:val="ListParagraph"/>
        <w:numPr>
          <w:ilvl w:val="0"/>
          <w:numId w:val="2"/>
        </w:numPr>
        <w:spacing w:after="60"/>
      </w:pPr>
      <w:r>
        <w:rPr>
          <w:sz w:val="22"/>
          <w:szCs w:val="22"/>
        </w:rPr>
        <w:t xml:space="preserve">Feed API traffic: ~400 function invocations per user/month — far inside Vercel Pro’s included usage at every scenario shown.</w:t>
      </w:r>
    </w:p>
    <w:p>
      <w:pPr>
        <w:pStyle w:val="ListParagraph"/>
        <w:numPr>
          <w:ilvl w:val="0"/>
          <w:numId w:val="2"/>
        </w:numPr>
        <w:spacing w:after="60"/>
      </w:pPr>
      <w:r>
        <w:rPr>
          <w:sz w:val="22"/>
          <w:szCs w:val="22"/>
        </w:rPr>
        <w:t xml:space="preserve">Prices verified July 2026: Vercel Pro $20/seat + $20 usage credit, 1 TB Fast Data Transfer then $0.15/GB. Sanity Free/Growth: 100 GB bandwidth and 100 GB assets included; Growth $15/seat with $0.30/GB bandwidth and $0.50/GB storage overage. MongoDB Atlas M0 free, Flex from ~$8, M10 ~$57.</w:t>
      </w:r>
    </w:p>
    <w:p>
      <w:pPr>
        <w:pStyle w:val="ListParagraph"/>
        <w:numPr>
          <w:ilvl w:val="0"/>
          <w:numId w:val="2"/>
        </w:numPr>
        <w:spacing w:after="60"/>
      </w:pPr>
      <w:r>
        <w:rPr>
          <w:sz w:val="22"/>
          <w:szCs w:val="22"/>
        </w:rPr>
        <w:t xml:space="preserve">Estimates are planning figures, not quotes — real cost tracks how media-heavy user behavior actually is. Watch the Sanity usage dashboard (sanity.io/manage) monthly for the first quarter after launch.</w:t>
      </w:r>
    </w:p>
    <w:p>
      <w:pPr>
        <w:pStyle w:val="Heading1"/>
        <w:spacing w:after="160" w:before="320"/>
      </w:pPr>
      <w:r>
        <w:rPr>
          <w:color w:val="0F172A"/>
        </w:rPr>
        <w:t xml:space="preserve">5. Warning Signs to Watch</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4660"/>
      </w:tblGrid>
      <w:tr>
        <w:trPr>
          <w:tblHeader/>
        </w:trPr>
        <w:tc>
          <w:tcPr>
            <w:tcW w:type="dxa" w:w="2600"/>
            <w:shd w:fill="F0FDFA" w:val="clear"/>
            <w:tcMar>
              <w:top w:type="dxa" w:w="80"/>
              <w:left w:type="dxa" w:w="120"/>
              <w:bottom w:type="dxa" w:w="80"/>
              <w:right w:type="dxa" w:w="120"/>
            </w:tcMar>
          </w:tcPr>
          <w:p>
            <w:r>
              <w:rPr>
                <w:b/>
                <w:bCs/>
                <w:sz w:val="20"/>
                <w:szCs w:val="20"/>
              </w:rPr>
              <w:t xml:space="preserve">Metric</w:t>
            </w:r>
          </w:p>
        </w:tc>
        <w:tc>
          <w:tcPr>
            <w:tcW w:type="dxa" w:w="3100"/>
            <w:shd w:fill="F0FDFA" w:val="clear"/>
            <w:tcMar>
              <w:top w:type="dxa" w:w="80"/>
              <w:left w:type="dxa" w:w="120"/>
              <w:bottom w:type="dxa" w:w="80"/>
              <w:right w:type="dxa" w:w="120"/>
            </w:tcMar>
          </w:tcPr>
          <w:p>
            <w:r>
              <w:rPr>
                <w:b/>
                <w:bCs/>
                <w:sz w:val="20"/>
                <w:szCs w:val="20"/>
              </w:rPr>
              <w:t xml:space="preserve">Where to check</w:t>
            </w:r>
          </w:p>
        </w:tc>
        <w:tc>
          <w:tcPr>
            <w:tcW w:type="dxa" w:w="4660"/>
            <w:shd w:fill="F0FDFA" w:val="clear"/>
            <w:tcMar>
              <w:top w:type="dxa" w:w="80"/>
              <w:left w:type="dxa" w:w="120"/>
              <w:bottom w:type="dxa" w:w="80"/>
              <w:right w:type="dxa" w:w="120"/>
            </w:tcMar>
          </w:tcPr>
          <w:p>
            <w:r>
              <w:rPr>
                <w:b/>
                <w:bCs/>
                <w:sz w:val="20"/>
                <w:szCs w:val="20"/>
              </w:rPr>
              <w:t xml:space="preserve">Action threshold</w:t>
            </w:r>
          </w:p>
        </w:tc>
      </w:tr>
      <w:tr>
        <w:tc>
          <w:tcPr>
            <w:tcW w:type="dxa" w:w="2600"/>
            <w:tcMar>
              <w:top w:type="dxa" w:w="80"/>
              <w:left w:type="dxa" w:w="120"/>
              <w:bottom w:type="dxa" w:w="80"/>
              <w:right w:type="dxa" w:w="120"/>
            </w:tcMar>
          </w:tcPr>
          <w:p>
            <w:r>
              <w:rPr>
                <w:b w:val="false"/>
                <w:bCs w:val="false"/>
                <w:sz w:val="20"/>
                <w:szCs w:val="20"/>
              </w:rPr>
              <w:t xml:space="preserve">Sanity bandwidth</w:t>
            </w:r>
          </w:p>
        </w:tc>
        <w:tc>
          <w:tcPr>
            <w:tcW w:type="dxa" w:w="3100"/>
            <w:tcMar>
              <w:top w:type="dxa" w:w="80"/>
              <w:left w:type="dxa" w:w="120"/>
              <w:bottom w:type="dxa" w:w="80"/>
              <w:right w:type="dxa" w:w="120"/>
            </w:tcMar>
          </w:tcPr>
          <w:p>
            <w:r>
              <w:rPr>
                <w:b w:val="false"/>
                <w:bCs w:val="false"/>
                <w:sz w:val="20"/>
                <w:szCs w:val="20"/>
              </w:rPr>
              <w:t xml:space="preserve">sanity.io/manage → Usage</w:t>
            </w:r>
          </w:p>
        </w:tc>
        <w:tc>
          <w:tcPr>
            <w:tcW w:type="dxa" w:w="4660"/>
            <w:tcMar>
              <w:top w:type="dxa" w:w="80"/>
              <w:left w:type="dxa" w:w="120"/>
              <w:bottom w:type="dxa" w:w="80"/>
              <w:right w:type="dxa" w:w="120"/>
            </w:tcMar>
          </w:tcPr>
          <w:p>
            <w:r>
              <w:rPr>
                <w:b w:val="false"/>
                <w:bCs w:val="false"/>
                <w:sz w:val="20"/>
                <w:szCs w:val="20"/>
              </w:rPr>
              <w:t xml:space="preserve">&gt; 80 GB/month → upgrade to Growth before hitting the free cap</w:t>
            </w:r>
          </w:p>
        </w:tc>
      </w:tr>
      <w:tr>
        <w:tc>
          <w:tcPr>
            <w:tcW w:type="dxa" w:w="2600"/>
            <w:tcMar>
              <w:top w:type="dxa" w:w="80"/>
              <w:left w:type="dxa" w:w="120"/>
              <w:bottom w:type="dxa" w:w="80"/>
              <w:right w:type="dxa" w:w="120"/>
            </w:tcMar>
          </w:tcPr>
          <w:p>
            <w:r>
              <w:rPr>
                <w:b w:val="false"/>
                <w:bCs w:val="false"/>
                <w:sz w:val="20"/>
                <w:szCs w:val="20"/>
              </w:rPr>
              <w:t xml:space="preserve">Sanity asset storage</w:t>
            </w:r>
          </w:p>
        </w:tc>
        <w:tc>
          <w:tcPr>
            <w:tcW w:type="dxa" w:w="3100"/>
            <w:tcMar>
              <w:top w:type="dxa" w:w="80"/>
              <w:left w:type="dxa" w:w="120"/>
              <w:bottom w:type="dxa" w:w="80"/>
              <w:right w:type="dxa" w:w="120"/>
            </w:tcMar>
          </w:tcPr>
          <w:p>
            <w:r>
              <w:rPr>
                <w:b w:val="false"/>
                <w:bCs w:val="false"/>
                <w:sz w:val="20"/>
                <w:szCs w:val="20"/>
              </w:rPr>
              <w:t xml:space="preserve">sanity.io/manage → Usage</w:t>
            </w:r>
          </w:p>
        </w:tc>
        <w:tc>
          <w:tcPr>
            <w:tcW w:type="dxa" w:w="4660"/>
            <w:tcMar>
              <w:top w:type="dxa" w:w="80"/>
              <w:left w:type="dxa" w:w="120"/>
              <w:bottom w:type="dxa" w:w="80"/>
              <w:right w:type="dxa" w:w="120"/>
            </w:tcMar>
          </w:tcPr>
          <w:p>
            <w:r>
              <w:rPr>
                <w:b w:val="false"/>
                <w:bCs w:val="false"/>
                <w:sz w:val="20"/>
                <w:szCs w:val="20"/>
              </w:rPr>
              <w:t xml:space="preserve">&gt; 80 GB → plan retention policy / video offload</w:t>
            </w:r>
          </w:p>
        </w:tc>
      </w:tr>
      <w:tr>
        <w:tc>
          <w:tcPr>
            <w:tcW w:type="dxa" w:w="2600"/>
            <w:tcMar>
              <w:top w:type="dxa" w:w="80"/>
              <w:left w:type="dxa" w:w="120"/>
              <w:bottom w:type="dxa" w:w="80"/>
              <w:right w:type="dxa" w:w="120"/>
            </w:tcMar>
          </w:tcPr>
          <w:p>
            <w:r>
              <w:rPr>
                <w:b w:val="false"/>
                <w:bCs w:val="false"/>
                <w:sz w:val="20"/>
                <w:szCs w:val="20"/>
              </w:rPr>
              <w:t xml:space="preserve">Vercel usage credit</w:t>
            </w:r>
          </w:p>
        </w:tc>
        <w:tc>
          <w:tcPr>
            <w:tcW w:type="dxa" w:w="3100"/>
            <w:tcMar>
              <w:top w:type="dxa" w:w="80"/>
              <w:left w:type="dxa" w:w="120"/>
              <w:bottom w:type="dxa" w:w="80"/>
              <w:right w:type="dxa" w:w="120"/>
            </w:tcMar>
          </w:tcPr>
          <w:p>
            <w:r>
              <w:rPr>
                <w:b w:val="false"/>
                <w:bCs w:val="false"/>
                <w:sz w:val="20"/>
                <w:szCs w:val="20"/>
              </w:rPr>
              <w:t xml:space="preserve">Vercel dashboard → Usage</w:t>
            </w:r>
          </w:p>
        </w:tc>
        <w:tc>
          <w:tcPr>
            <w:tcW w:type="dxa" w:w="4660"/>
            <w:tcMar>
              <w:top w:type="dxa" w:w="80"/>
              <w:left w:type="dxa" w:w="120"/>
              <w:bottom w:type="dxa" w:w="80"/>
              <w:right w:type="dxa" w:w="120"/>
            </w:tcMar>
          </w:tcPr>
          <w:p>
            <w:r>
              <w:rPr>
                <w:b w:val="false"/>
                <w:bCs w:val="false"/>
                <w:sz w:val="20"/>
                <w:szCs w:val="20"/>
              </w:rPr>
              <w:t xml:space="preserve">Credit consumed before month-end → review function hot spots</w:t>
            </w:r>
          </w:p>
        </w:tc>
      </w:tr>
      <w:tr>
        <w:tc>
          <w:tcPr>
            <w:tcW w:type="dxa" w:w="2600"/>
            <w:tcMar>
              <w:top w:type="dxa" w:w="80"/>
              <w:left w:type="dxa" w:w="120"/>
              <w:bottom w:type="dxa" w:w="80"/>
              <w:right w:type="dxa" w:w="120"/>
            </w:tcMar>
          </w:tcPr>
          <w:p>
            <w:r>
              <w:rPr>
                <w:b w:val="false"/>
                <w:bCs w:val="false"/>
                <w:sz w:val="20"/>
                <w:szCs w:val="20"/>
              </w:rPr>
              <w:t xml:space="preserve">MongoDB storage/CPU</w:t>
            </w:r>
          </w:p>
        </w:tc>
        <w:tc>
          <w:tcPr>
            <w:tcW w:type="dxa" w:w="3100"/>
            <w:tcMar>
              <w:top w:type="dxa" w:w="80"/>
              <w:left w:type="dxa" w:w="120"/>
              <w:bottom w:type="dxa" w:w="80"/>
              <w:right w:type="dxa" w:w="120"/>
            </w:tcMar>
          </w:tcPr>
          <w:p>
            <w:r>
              <w:rPr>
                <w:b w:val="false"/>
                <w:bCs w:val="false"/>
                <w:sz w:val="20"/>
                <w:szCs w:val="20"/>
              </w:rPr>
              <w:t xml:space="preserve">Atlas dashboard</w:t>
            </w:r>
          </w:p>
        </w:tc>
        <w:tc>
          <w:tcPr>
            <w:tcW w:type="dxa" w:w="4660"/>
            <w:tcMar>
              <w:top w:type="dxa" w:w="80"/>
              <w:left w:type="dxa" w:w="120"/>
              <w:bottom w:type="dxa" w:w="80"/>
              <w:right w:type="dxa" w:w="120"/>
            </w:tcMar>
          </w:tcPr>
          <w:p>
            <w:r>
              <w:rPr>
                <w:b w:val="false"/>
                <w:bCs w:val="false"/>
                <w:sz w:val="20"/>
                <w:szCs w:val="20"/>
              </w:rPr>
              <w:t xml:space="preserve">M0 above 400 MB or throttling → move to Flex</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ea8be7e98c993863ad269c5432b89ad1b9be0a.png"/><Relationship Id="rId8" Type="http://schemas.openxmlformats.org/officeDocument/2006/relationships/image" Target="media/845e2bb88142560b3bc0571eecf133580687de1e.png"/><Relationship Id="rId9" Type="http://schemas.openxmlformats.org/officeDocument/2006/relationships/image" Target="media/d687275af9acc60bf1e4431e7ede135385f5b75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2026-07-11T02:55:17.860Z</dcterms:created>
  <dcterms:modified xsi:type="dcterms:W3CDTF">2026-07-11T02:55:17.861Z</dcterms:modified>
</cp:coreProperties>
</file>

<file path=docProps/custom.xml><?xml version="1.0" encoding="utf-8"?>
<Properties xmlns="http://schemas.openxmlformats.org/officeDocument/2006/custom-properties" xmlns:vt="http://schemas.openxmlformats.org/officeDocument/2006/docPropsVTypes"/>
</file>