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6817" w14:textId="77777777" w:rsidR="000B581B" w:rsidRDefault="000B581B" w:rsidP="000B581B">
      <w:pPr>
        <w:jc w:val="center"/>
        <w:rPr>
          <w:b/>
        </w:rPr>
      </w:pPr>
    </w:p>
    <w:p w14:paraId="3ED26422" w14:textId="77777777" w:rsidR="000B581B" w:rsidRDefault="000B581B" w:rsidP="000B581B">
      <w:pPr>
        <w:jc w:val="center"/>
        <w:rPr>
          <w:b/>
        </w:rPr>
      </w:pPr>
    </w:p>
    <w:p w14:paraId="5ACC3707" w14:textId="77777777" w:rsidR="000B581B" w:rsidRDefault="000B581B" w:rsidP="000B581B">
      <w:pPr>
        <w:jc w:val="center"/>
        <w:rPr>
          <w:b/>
        </w:rPr>
      </w:pPr>
    </w:p>
    <w:p w14:paraId="18637116" w14:textId="77777777" w:rsidR="000B581B" w:rsidRDefault="000B581B" w:rsidP="000B581B">
      <w:pPr>
        <w:jc w:val="center"/>
        <w:rPr>
          <w:b/>
        </w:rPr>
      </w:pPr>
    </w:p>
    <w:p w14:paraId="2F772733" w14:textId="77777777" w:rsidR="000B581B" w:rsidRDefault="000B581B" w:rsidP="000B581B">
      <w:pPr>
        <w:jc w:val="center"/>
        <w:rPr>
          <w:b/>
        </w:rPr>
      </w:pPr>
    </w:p>
    <w:p w14:paraId="4D663D30" w14:textId="77777777" w:rsidR="000B581B" w:rsidRDefault="000B581B" w:rsidP="000B581B">
      <w:pPr>
        <w:jc w:val="center"/>
        <w:rPr>
          <w:b/>
        </w:rPr>
      </w:pPr>
    </w:p>
    <w:p w14:paraId="2F41CE9A" w14:textId="77777777" w:rsidR="000B581B" w:rsidRDefault="000B581B" w:rsidP="000B581B">
      <w:pPr>
        <w:jc w:val="center"/>
        <w:rPr>
          <w:b/>
        </w:rPr>
      </w:pPr>
    </w:p>
    <w:p w14:paraId="2DF30A05" w14:textId="77777777" w:rsidR="000B581B" w:rsidRDefault="000B581B" w:rsidP="000B581B">
      <w:pPr>
        <w:jc w:val="center"/>
        <w:rPr>
          <w:b/>
        </w:rPr>
      </w:pPr>
    </w:p>
    <w:p w14:paraId="6612DF08" w14:textId="54246413" w:rsidR="006216F4" w:rsidRDefault="00000000" w:rsidP="000B581B">
      <w:pPr>
        <w:jc w:val="center"/>
      </w:pPr>
      <w:r>
        <w:rPr>
          <w:b/>
        </w:rPr>
        <w:t>The 2019 Capital One Data Breach: A Failure of Layered Security</w:t>
      </w:r>
    </w:p>
    <w:p w14:paraId="340F288F" w14:textId="77777777" w:rsidR="000B581B" w:rsidRDefault="00000000" w:rsidP="000B581B">
      <w:pPr>
        <w:jc w:val="center"/>
      </w:pPr>
      <w:r>
        <w:t xml:space="preserve">José Medina </w:t>
      </w:r>
    </w:p>
    <w:p w14:paraId="1BB5F5ED" w14:textId="2EA845C3" w:rsidR="003521A8" w:rsidRDefault="00000000" w:rsidP="000B581B">
      <w:pPr>
        <w:jc w:val="center"/>
      </w:pPr>
      <w:r>
        <w:t xml:space="preserve">CS 405 </w:t>
      </w:r>
      <w:r w:rsidR="003521A8">
        <w:t>Module 5-1</w:t>
      </w:r>
    </w:p>
    <w:p w14:paraId="3D4D68CD" w14:textId="77777777" w:rsidR="000B581B" w:rsidRDefault="00000000" w:rsidP="000B581B">
      <w:pPr>
        <w:jc w:val="center"/>
      </w:pPr>
      <w:r>
        <w:t xml:space="preserve">Professor Olga Mill </w:t>
      </w:r>
    </w:p>
    <w:p w14:paraId="7D03228D" w14:textId="0317A624" w:rsidR="006216F4" w:rsidRDefault="00000000" w:rsidP="000B581B">
      <w:pPr>
        <w:jc w:val="center"/>
      </w:pPr>
      <w:r>
        <w:t>August 2, 2026</w:t>
      </w:r>
    </w:p>
    <w:p w14:paraId="6C7961E7" w14:textId="77777777" w:rsidR="000B581B" w:rsidRDefault="000B581B">
      <w:pPr>
        <w:jc w:val="center"/>
      </w:pPr>
    </w:p>
    <w:p w14:paraId="305ACD03" w14:textId="77777777" w:rsidR="000B581B" w:rsidRDefault="000B581B">
      <w:pPr>
        <w:jc w:val="center"/>
      </w:pPr>
    </w:p>
    <w:p w14:paraId="5A2241F4" w14:textId="77777777" w:rsidR="000B581B" w:rsidRDefault="000B581B">
      <w:pPr>
        <w:jc w:val="center"/>
      </w:pPr>
    </w:p>
    <w:p w14:paraId="6151989A" w14:textId="77777777" w:rsidR="000B581B" w:rsidRDefault="000B581B">
      <w:pPr>
        <w:jc w:val="center"/>
      </w:pPr>
    </w:p>
    <w:p w14:paraId="5D0FC646" w14:textId="77777777" w:rsidR="000B581B" w:rsidRDefault="000B581B">
      <w:pPr>
        <w:jc w:val="center"/>
      </w:pPr>
    </w:p>
    <w:p w14:paraId="5B486B83" w14:textId="77777777" w:rsidR="000B581B" w:rsidRDefault="000B581B">
      <w:pPr>
        <w:jc w:val="center"/>
      </w:pPr>
    </w:p>
    <w:p w14:paraId="4103F441" w14:textId="77777777" w:rsidR="000B581B" w:rsidRDefault="000B581B">
      <w:pPr>
        <w:jc w:val="center"/>
      </w:pPr>
    </w:p>
    <w:p w14:paraId="09C4CA23" w14:textId="77777777" w:rsidR="000B581B" w:rsidRDefault="000B581B">
      <w:pPr>
        <w:jc w:val="center"/>
      </w:pPr>
    </w:p>
    <w:p w14:paraId="56689BBD" w14:textId="77777777" w:rsidR="000B581B" w:rsidRDefault="000B581B">
      <w:pPr>
        <w:jc w:val="center"/>
      </w:pPr>
    </w:p>
    <w:p w14:paraId="7C516398" w14:textId="77777777" w:rsidR="006216F4" w:rsidRDefault="00000000">
      <w:r>
        <w:rPr>
          <w:b/>
        </w:rPr>
        <w:lastRenderedPageBreak/>
        <w:t xml:space="preserve">Introduction. </w:t>
      </w:r>
      <w:r>
        <w:t xml:space="preserve">The case I chose is the 2019 Capital One data breach. </w:t>
      </w:r>
      <w:hyperlink r:id="rId8">
        <w:r w:rsidR="006216F4">
          <w:rPr>
            <w:color w:val="0563C1"/>
            <w:szCs w:val="24"/>
            <w:u w:val="single"/>
          </w:rPr>
          <w:t>Capital One announced the incident</w:t>
        </w:r>
      </w:hyperlink>
      <w:r>
        <w:t xml:space="preserve"> on July 29, 2019, after an outside person accessed customer and credit card applicant information. The March attack affected about 100 million people in the United States and 6 million in Canada. It made national news because a major bank known for cloud technology lost control of sensitive data, showing how one weak security layer can create serious risk (Capital One, 2019).</w:t>
      </w:r>
    </w:p>
    <w:p w14:paraId="5966BF78" w14:textId="77777777" w:rsidR="006216F4" w:rsidRDefault="00000000">
      <w:r>
        <w:rPr>
          <w:b/>
        </w:rPr>
        <w:t xml:space="preserve">Breach Description. </w:t>
      </w:r>
      <w:r>
        <w:t>This was a cloud security and personal data breach. Capital One was a valuable target because banks store identity and financial information that can be used for fraud. The attacker, a former Amazon employee familiar with cloud systems, used server side request forgery against a misconfigured web application firewall. The request reached the AWS metadata service, returned temporary credentials, and allowed access to S3 storage buckets. The stolen records included contact and application information, about 140,000 Social Security numbers, about 80,000 linked bank account numbers, and about 1 million Canadian Social Insurance Numbers (Novaes et al., 2020; Capital One, 2019).</w:t>
      </w:r>
    </w:p>
    <w:p w14:paraId="55CC452B" w14:textId="77777777" w:rsidR="006216F4" w:rsidRDefault="00000000">
      <w:r>
        <w:rPr>
          <w:b/>
        </w:rPr>
        <w:t xml:space="preserve">Threat Identification. </w:t>
      </w:r>
      <w:r>
        <w:t>The immediate threats were identity theft, fraud, targeted phishing, and loss of privacy. Capital One also faced legal costs, damaged trust, and harm to its reputation. If the weakness had remained open, the credentials could have been used to copy more data or reach other cloud resources.</w:t>
      </w:r>
    </w:p>
    <w:p w14:paraId="18867603" w14:textId="77777777" w:rsidR="006216F4" w:rsidRDefault="00000000">
      <w:r>
        <w:rPr>
          <w:b/>
        </w:rPr>
        <w:t xml:space="preserve">Attack Prevention Strategies. </w:t>
      </w:r>
      <w:r>
        <w:t xml:space="preserve">Secure coding and stronger cloud policies could have interrupted the attack. Applications that request outside resources should validate destinations, use an allowlist, and block the metadata address. Capital One could also have required AWS Instance Metadata Service Version 2, which uses a session token to add protection against request forgery. Automated infrastructure scans should check firewall, IAM, and S3 settings before and </w:t>
      </w:r>
      <w:r>
        <w:lastRenderedPageBreak/>
        <w:t>after changes. Change approval, regular access reviews, least privilege, and alerts for large outbound transfers would further reduce the risk.</w:t>
      </w:r>
    </w:p>
    <w:p w14:paraId="796A2070" w14:textId="77777777" w:rsidR="006216F4" w:rsidRDefault="00000000">
      <w:r>
        <w:rPr>
          <w:b/>
        </w:rPr>
        <w:t xml:space="preserve">Application of Triple A. </w:t>
      </w:r>
      <w:r>
        <w:t>Authentication should confirm that only approved users and services receive credentials, including the session token required by IMDSv2. Authorization should limit what those credentials can reach; the firewall role should not have had broad access to S3 data. Accounting should record activity and produce alerts. AWS logs showed the listing and copying commands, but the events needed faster review and response. A valid credential is still dangerous when its permissions are broad and its use is not monitored.</w:t>
      </w:r>
    </w:p>
    <w:p w14:paraId="776B503C" w14:textId="77777777" w:rsidR="006216F4" w:rsidRDefault="00000000">
      <w:r>
        <w:rPr>
          <w:b/>
        </w:rPr>
        <w:t xml:space="preserve">Application of Defense in Depth. </w:t>
      </w:r>
      <w:r>
        <w:t>The defense in depth illustration in the assignment shows connected layers such as application, host, network, perimeter, cloud, operations, and policy controls. For Capital One, those layers should have included request validation, a secure firewall, IMDSv2, limited IAM permissions, restricted S3 policies, data loss prevention, outbound monitoring, reviewed logs, and an incident response plan. Defense in depth is not simply owning many tools. It means expecting one tool to fail. Even if the firewall allowed the request, another layer should have blocked the credentials, limited the data, or alerted the security team before it was copied. This case shows that secure coding, Triple A, policy, and monitoring must work together.</w:t>
      </w:r>
    </w:p>
    <w:p w14:paraId="6AF20F32" w14:textId="77777777" w:rsidR="006216F4" w:rsidRDefault="00000000">
      <w:r>
        <w:rPr>
          <w:b/>
        </w:rPr>
        <w:t xml:space="preserve">Sources. </w:t>
      </w:r>
      <w:hyperlink r:id="rId9">
        <w:r w:rsidR="006216F4">
          <w:rPr>
            <w:color w:val="0563C1"/>
            <w:szCs w:val="24"/>
            <w:u w:val="single"/>
          </w:rPr>
          <w:t>Capital One incident report</w:t>
        </w:r>
      </w:hyperlink>
      <w:r>
        <w:t xml:space="preserve">; </w:t>
      </w:r>
      <w:hyperlink r:id="rId10">
        <w:r w:rsidR="006216F4">
          <w:rPr>
            <w:color w:val="0563C1"/>
            <w:szCs w:val="24"/>
            <w:u w:val="single"/>
          </w:rPr>
          <w:t>MIT case study</w:t>
        </w:r>
      </w:hyperlink>
      <w:r>
        <w:t xml:space="preserve">; </w:t>
      </w:r>
      <w:hyperlink r:id="rId11">
        <w:r w:rsidR="006216F4">
          <w:rPr>
            <w:color w:val="0563C1"/>
            <w:szCs w:val="24"/>
            <w:u w:val="single"/>
          </w:rPr>
          <w:t>AWS IMDSv2 guidance</w:t>
        </w:r>
      </w:hyperlink>
      <w:r>
        <w:t>.</w:t>
      </w:r>
    </w:p>
    <w:sectPr w:rsidR="006216F4"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E1CF9" w14:textId="77777777" w:rsidR="00D5258D" w:rsidRDefault="00D5258D">
      <w:pPr>
        <w:spacing w:line="240" w:lineRule="auto"/>
      </w:pPr>
      <w:r>
        <w:separator/>
      </w:r>
    </w:p>
  </w:endnote>
  <w:endnote w:type="continuationSeparator" w:id="0">
    <w:p w14:paraId="49B5EBB6" w14:textId="77777777" w:rsidR="00D5258D" w:rsidRDefault="00D525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34B34" w14:textId="77777777" w:rsidR="006216F4"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5D029" w14:textId="77777777" w:rsidR="00D5258D" w:rsidRDefault="00D5258D">
      <w:pPr>
        <w:spacing w:line="240" w:lineRule="auto"/>
      </w:pPr>
      <w:r>
        <w:separator/>
      </w:r>
    </w:p>
  </w:footnote>
  <w:footnote w:type="continuationSeparator" w:id="0">
    <w:p w14:paraId="677CF046" w14:textId="77777777" w:rsidR="00D5258D" w:rsidRDefault="00D525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174159">
    <w:abstractNumId w:val="8"/>
  </w:num>
  <w:num w:numId="2" w16cid:durableId="150679255">
    <w:abstractNumId w:val="6"/>
  </w:num>
  <w:num w:numId="3" w16cid:durableId="1197277626">
    <w:abstractNumId w:val="5"/>
  </w:num>
  <w:num w:numId="4" w16cid:durableId="1701319396">
    <w:abstractNumId w:val="4"/>
  </w:num>
  <w:num w:numId="5" w16cid:durableId="1335717417">
    <w:abstractNumId w:val="7"/>
  </w:num>
  <w:num w:numId="6" w16cid:durableId="2141800044">
    <w:abstractNumId w:val="3"/>
  </w:num>
  <w:num w:numId="7" w16cid:durableId="1475564804">
    <w:abstractNumId w:val="2"/>
  </w:num>
  <w:num w:numId="8" w16cid:durableId="1624724549">
    <w:abstractNumId w:val="1"/>
  </w:num>
  <w:num w:numId="9" w16cid:durableId="917792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81B"/>
    <w:rsid w:val="0015074B"/>
    <w:rsid w:val="0029639D"/>
    <w:rsid w:val="00326F90"/>
    <w:rsid w:val="003521A8"/>
    <w:rsid w:val="003F5F7D"/>
    <w:rsid w:val="006216F4"/>
    <w:rsid w:val="00875BC4"/>
    <w:rsid w:val="00AA1D8D"/>
    <w:rsid w:val="00B47730"/>
    <w:rsid w:val="00CB0664"/>
    <w:rsid w:val="00D5258D"/>
    <w:rsid w:val="00DB04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F0C6B"/>
  <w14:defaultImageDpi w14:val="300"/>
  <w15:docId w15:val="{4324FBB2-74FC-47D5-B3E6-A48B599E8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pitalone.com/about/newsroom/capital-one-announces-data-security-incid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AWSEC2/latest/UserGuide/configuring-instance-metadata-service.html" TargetMode="External"/><Relationship Id="rId5" Type="http://schemas.openxmlformats.org/officeDocument/2006/relationships/webSettings" Target="webSettings.xml"/><Relationship Id="rId10" Type="http://schemas.openxmlformats.org/officeDocument/2006/relationships/hyperlink" Target="https://web.mit.edu/smadnick/www/wp/2020-07.pdf" TargetMode="External"/><Relationship Id="rId4" Type="http://schemas.openxmlformats.org/officeDocument/2006/relationships/settings" Target="settings.xml"/><Relationship Id="rId9" Type="http://schemas.openxmlformats.org/officeDocument/2006/relationships/hyperlink" Target="https://www.capitalone.com/about/newsroom/capital-one-announces-data-security-incid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405 Module Five Case Study</dc:title>
  <dc:subject>2019 Capital One Data Breach</dc:subject>
  <dc:creator>José Medina</dc:creator>
  <cp:keywords/>
  <dc:description>generated by python-docx</dc:description>
  <cp:lastModifiedBy>Jose</cp:lastModifiedBy>
  <cp:revision>3</cp:revision>
  <dcterms:created xsi:type="dcterms:W3CDTF">2026-08-03T04:04:00Z</dcterms:created>
  <dcterms:modified xsi:type="dcterms:W3CDTF">2026-08-03T04:05:00Z</dcterms:modified>
  <cp:category/>
</cp:coreProperties>
</file>