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requer a intimação do perito para esclarecer por que não realizou vistoria no veículo envolvido no acidente, entendendo que a dinâmica do sinistro interfere na avaliação da incapacidade.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da ré · pedido de esclarecimentos</dc:title>
  <dc:creator>Cópia dos autos</dc:creator>
  <dc:description>Gerado no Decreta</dc:description>
  <cp:lastModifiedBy>Un-named</cp:lastModifiedBy>
  <cp:revision>1</cp:revision>
  <dcterms:created xsi:type="dcterms:W3CDTF">2026-10-31T17:21:06.614Z</dcterms:created>
  <dcterms:modified xsi:type="dcterms:W3CDTF">2026-10-31T17:21:06.614Z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