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O pagamento administrativo considerou 15% de incapacidade, sem exame. A quitação dada no recibo não impede a cobrança da diferença (Súmula 474 do STJ).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Réplica</dc:title>
  <dc:creator>Cópia dos autos</dc:creator>
  <dc:description>Gerado no Decreta</dc:description>
  <cp:lastModifiedBy>Un-named</cp:lastModifiedBy>
  <cp:revision>1</cp:revision>
  <dcterms:created xsi:type="dcterms:W3CDTF">2026-10-30T18:20:42.253Z</dcterms:created>
  <dcterms:modified xsi:type="dcterms:W3CDTF">2026-10-30T18:20:42.253Z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