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Quesitos da autora: 1. Há nexo causal entre o acidente e as lesões? 2. A incapacidade é permanente? 3. Qual o grau de incapacidade segundo a tabela legal?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Quesitos da autora</dc:title>
  <dc:creator>Cópia dos autos</dc:creator>
  <dc:description>Gerado no Decreta</dc:description>
  <cp:lastModifiedBy>Un-named</cp:lastModifiedBy>
  <cp:revision>1</cp:revision>
  <dcterms:created xsi:type="dcterms:W3CDTF">2026-11-01T02:10:27.802Z</dcterms:created>
  <dcterms:modified xsi:type="dcterms:W3CDTF">2026-11-01T02:10:27.802Z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