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  <w:t xml:space="preserve">Texto da aba: </w:t>
        <w:br w:type="textWrapping"/>
      </w:r>
      <w:r w:rsidDel="00000000" w:rsidR="00000000" w:rsidRPr="00000000">
        <w:rPr>
          <w:rtl w:val="0"/>
        </w:rPr>
        <w:br w:type="textWrapping"/>
        <w:t xml:space="preserve">Formar o indivíduo para um mundo globalizado e para os seus novos parâmetros envolve a capacidade de utilização dos recursos infindáveis da informática, da computação e da telemática, que acenam para uma revolução cultural tão transformadora quanto o foi, no seu tempo, a invenção da imprensa.</w:t>
        <w:br w:type="textWrapping"/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A absorção do novo, contudo, não pode prescindir de uma sólida formação, de uma compreensão lúcida das novas realidades e do domínio de equipamentos básicos para a vida: a competência linguística, o raciocínio lógico e matemático, a iniciação científica, a consciência do meio ambiente, a visão histórica, a experiência artística, a formação ética e a construção da cidadania, além do domínio de recursos tecnológicos, passaporte privilegiado para o mundo futuro.</w:t>
        <w:br w:type="textWrapping"/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Esses são os caminhos. São esses os ideais que alimentam nossa proposta educacional.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