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O Ensino Fundamental II do Objetivo São Carlos é uma fase decisiva na formação acadêmica e pessoal do aluno. É nesse período que ele amplia seus conhecimentos, desenvolve autonomia intelectual e aprende a lidar com novos desafios, responsabilidades e escolhas.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Nossa proposta pedagógica vai além da transmissão de conteúdos. Trabalhamos com uma metodologia dinâmica, que equilibra teoria e prática, estimulando o pensamento crítico, a curiosidade, a organização dos estudos e a construção do raciocínio lógico. O aluno aprende a aprender, desenvolvendo habilidades essenciais para a continuidade da vida escolar.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Contamos com uma equipe de professores experientes, que acompanha de perto o desenvolvimento acadêmico e </w:t>
      </w:r>
      <w:r w:rsidDel="00000000" w:rsidR="00000000" w:rsidRPr="00000000">
        <w:rPr>
          <w:rtl w:val="0"/>
        </w:rPr>
        <w:t xml:space="preserve">socioemocional</w:t>
      </w:r>
      <w:r w:rsidDel="00000000" w:rsidR="00000000" w:rsidRPr="00000000">
        <w:rPr>
          <w:rtl w:val="0"/>
        </w:rPr>
        <w:t xml:space="preserve"> dos estudantes, respeitando diferentes ritmos de aprendizagem e incentivando o protagonismo do aluno.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Objetivo São Carlos, o Ensino Fundamental II oferece uma base sólida de conhecimentos e valores, preparando o aluno com segurança para o Ensino Médio e para os desafios futuros.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