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000"/>
            </w:pPr>
          </w:p>
          <w:p>
            <w:pPr>
              <w:pBdr>
                <w:bottom w:val="single" w:color="37DCF2" w:sz="6" w:space="8"/>
              </w:pBdr>
              <w:spacing w:after="500"/>
              <w:ind w:left="1200" w:right="800"/>
            </w:pPr>
            <w:r>
              <w:rPr>
                <w:rFonts w:ascii="Calibri"/>
                <w:color w:val="37DCF2"/>
                <w:spacing w:val="40"/>
                <w:sz w:val="18"/>
                <w:szCs w:val="18"/>
              </w:rPr>
              <w:t xml:space="preserve">V I T A Z E N   —   F O R E N S I C   A U D I T</w:t>
            </w:r>
          </w:p>
          <w:p>
            <w:pPr>
              <w:spacing w:after="300" w:line="828" w:lineRule="atLeast"/>
              <w:ind w:left="1200"/>
            </w:pPr>
            <w:r>
              <w:rPr>
                <w:rFonts w:ascii="Arial" w:eastAsia="SimHei"/>
                <w:b/>
                <w:bCs/>
                <w:color w:val="FFFFFF"/>
                <w:sz w:val="72"/>
                <w:szCs w:val="72"/>
              </w:rPr>
              <w:t xml:space="preserve">Auditoría Forense de Señales</w:t>
            </w:r>
          </w:p>
          <w:p>
            <w:pPr>
              <w:spacing w:after="800"/>
              <w:ind w:left="1200"/>
            </w:pPr>
            <w:r>
              <w:rPr>
                <w:rFonts w:ascii="Arial" w:eastAsia="Microsoft YaHei"/>
                <w:color w:val="B0B8C0"/>
                <w:sz w:val="24"/>
                <w:szCs w:val="24"/>
              </w:rPr>
              <w:t xml:space="preserve">Potencial real de datos de VitaZen sin modificar la base de datos</w:t>
            </w:r>
          </w:p>
          <w:p>
            <w:pPr>
              <w:pBdr>
                <w:left w:val="single" w:color="37DCF2" w:sz="8" w:space="12"/>
              </w:pBdr>
              <w:spacing w:after="80"/>
              <w:ind w:left="1400"/>
            </w:pPr>
            <w:r>
              <w:rPr>
                <w:rFonts w:ascii="Arial" w:eastAsia="Microsoft YaHei"/>
                <w:color w:val="90989F"/>
                <w:sz w:val="22"/>
                <w:szCs w:val="22"/>
              </w:rPr>
              <w:t xml:space="preserve">Repositorio: github.com/josinesprados-hub/VitaZen</w:t>
            </w:r>
          </w:p>
          <w:p>
            <w:pPr>
              <w:pBdr>
                <w:left w:val="single" w:color="37DCF2" w:sz="8" w:space="12"/>
              </w:pBdr>
              <w:spacing w:after="80"/>
              <w:ind w:left="1400"/>
            </w:pPr>
            <w:r>
              <w:rPr>
                <w:rFonts w:ascii="Arial" w:eastAsia="Microsoft YaHei"/>
                <w:color w:val="90989F"/>
                <w:sz w:val="22"/>
                <w:szCs w:val="22"/>
              </w:rPr>
              <w:t xml:space="preserve">Rama: main | Stack: Next.js 15 + Prisma + PostgreSQL</w:t>
            </w:r>
          </w:p>
          <w:p>
            <w:pPr>
              <w:pBdr>
                <w:left w:val="single" w:color="37DCF2" w:sz="8" w:space="12"/>
              </w:pBdr>
              <w:spacing w:after="80"/>
              <w:ind w:left="1400"/>
            </w:pPr>
            <w:r>
              <w:rPr>
                <w:rFonts w:ascii="Arial" w:eastAsia="Microsoft YaHei"/>
                <w:color w:val="90989F"/>
                <w:sz w:val="22"/>
                <w:szCs w:val="22"/>
              </w:rPr>
              <w:t xml:space="preserve">Fecha: 11 de julio de 2026</w:t>
            </w:r>
          </w:p>
          <w:p>
            <w:pPr>
              <w:spacing w:before="3000"/>
            </w:pPr>
          </w:p>
          <w:p>
            <w:pPr>
              <w:pBdr>
                <w:top w:val="single" w:color="37DCF2" w:sz="2" w:space="8"/>
              </w:pBdr>
              <w:spacing w:before="200"/>
              <w:ind w:left="1200" w:right="800"/>
            </w:pPr>
            <w:r>
              <w:rPr>
                <w:rFonts w:ascii="Arial"/>
                <w:color w:val="687078"/>
                <w:sz w:val="16"/>
                <w:szCs w:val="16"/>
              </w:rPr>
              <w:t xml:space="preserve">Solo lectura  |  Sin commits  |  Sin modificaciones</w:t>
            </w:r>
            <w:r>
              <w:t xml:space="preserve">                                                          </w:t>
            </w:r>
            <w:r>
              <w:rPr>
                <w:rFonts w:ascii="Arial"/>
                <w:color w:val="687078"/>
                <w:sz w:val="16"/>
                <w:szCs w:val="16"/>
              </w:rPr>
              <w:t xml:space="preserve">Confidencial</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sz w:val="32"/>
          <w:szCs w:val="32"/>
        </w:rPr>
        <w:t xml:space="preserve">Índice</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Resumen Ejecutivo</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Señales Detectadas</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Disciplina</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Mente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Energía</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Riqueza</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Crecimiento</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Señales Infrautilizadas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Componentes muertos (código que no se renderiza)</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Métricas calculadas pero no mostradas</w:t>
            </w:r>
            <w:r>
              <w:tab/>
            </w:r>
            <w:r>
              <w:fldChar w:fldCharType="begin"/>
            </w:r>
            <w:r>
              <w:instrText xml:space="preserve"> PAGEREF _Toc100009 \h </w:instrText>
            </w:r>
            <w:r>
              <w:fldChar w:fldCharType="separate"/>
            </w:r>
            <w:r>
              <w:t>4</w:t>
            </w:r>
            <w:r>
              <w:fldChar w:fldCharType="end"/>
            </w:r>
          </w:hyperlink>
        </w:p>
        <w:p>
          <w:pPr>
            <w:pStyle w:val="9"/>
            <w:tabs>
              <w:tab w:val="right" w:leader="dot" w:pos="9026"/>
            </w:tabs>
            <w:spacing w:before="120" w:after="60"/>
          </w:pPr>
          <w:hyperlink w:anchor="_Toc100010" w:history="1">
            <w:r>
              <w:rPr>
                <w:rStyle w:val="Hyperlink"/>
              </w:rPr>
              <w:t>Nuevas Conexiones Posibles</w:t>
            </w:r>
            <w:r>
              <w:tab/>
            </w:r>
            <w:r>
              <w:fldChar w:fldCharType="begin"/>
            </w:r>
            <w:r>
              <w:instrText xml:space="preserve"> PAGEREF _Toc100010 \h </w:instrText>
            </w:r>
            <w:r>
              <w:fldChar w:fldCharType="separate"/>
            </w:r>
            <w:r>
              <w:t>4</w:t>
            </w:r>
            <w:r>
              <w:fldChar w:fldCharType="end"/>
            </w:r>
          </w:hyperlink>
        </w:p>
        <w:p>
          <w:pPr>
            <w:pStyle w:val="11"/>
            <w:ind w:left="360"/>
            <w:tabs>
              <w:tab w:val="right" w:leader="dot" w:pos="9026"/>
            </w:tabs>
            <w:spacing w:before="120" w:after="60"/>
          </w:pPr>
          <w:hyperlink w:anchor="_Toc100011" w:history="1">
            <w:r>
              <w:rPr>
                <w:rStyle w:val="Hyperlink"/>
              </w:rPr>
              <w:t>Conexiones inmediatas (datos ya disponibles)</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Conexiones que requieren cambios de query (sin modificar Prisma)</w:t>
            </w:r>
            <w:r>
              <w:tab/>
            </w:r>
            <w:r>
              <w:fldChar w:fldCharType="begin"/>
            </w:r>
            <w:r>
              <w:instrText xml:space="preserve"> PAGEREF _Toc100012 \h </w:instrText>
            </w:r>
            <w:r>
              <w:fldChar w:fldCharType="separate"/>
            </w:r>
            <w:r>
              <w:t>5</w:t>
            </w:r>
            <w:r>
              <w:fldChar w:fldCharType="end"/>
            </w:r>
          </w:hyperlink>
        </w:p>
        <w:p>
          <w:pPr>
            <w:pStyle w:val="9"/>
            <w:tabs>
              <w:tab w:val="right" w:leader="dot" w:pos="9026"/>
            </w:tabs>
            <w:spacing w:before="120" w:after="60"/>
          </w:pPr>
          <w:hyperlink w:anchor="_Toc100013" w:history="1">
            <w:r>
              <w:rPr>
                <w:rStyle w:val="Hyperlink"/>
              </w:rPr>
              <w:t>Limitaciones Reales</w:t>
            </w:r>
            <w:r>
              <w:tab/>
            </w:r>
            <w:r>
              <w:fldChar w:fldCharType="begin"/>
            </w:r>
            <w:r>
              <w:instrText xml:space="preserve"> PAGEREF _Toc100013 \h </w:instrText>
            </w:r>
            <w:r>
              <w:fldChar w:fldCharType="separate"/>
            </w:r>
            <w:r>
              <w:t>5</w:t>
            </w:r>
            <w:r>
              <w:fldChar w:fldCharType="end"/>
            </w:r>
          </w:hyperlink>
        </w:p>
        <w:p>
          <w:pPr>
            <w:pStyle w:val="9"/>
            <w:tabs>
              <w:tab w:val="right" w:leader="dot" w:pos="9026"/>
            </w:tabs>
            <w:spacing w:before="120" w:after="60"/>
          </w:pPr>
          <w:hyperlink w:anchor="_Toc100014" w:history="1">
            <w:r>
              <w:rPr>
                <w:rStyle w:val="Hyperlink"/>
              </w:rPr>
              <w:t>Prioridad de Implementación</w:t>
            </w:r>
            <w:r>
              <w:tab/>
            </w:r>
            <w:r>
              <w:fldChar w:fldCharType="begin"/>
            </w:r>
            <w:r>
              <w:instrText xml:space="preserve"> PAGEREF _Toc100014 \h </w:instrText>
            </w:r>
            <w:r>
              <w:fldChar w:fldCharType="separate"/>
            </w:r>
            <w:r>
              <w:t>5</w:t>
            </w:r>
            <w:r>
              <w:fldChar w:fldCharType="end"/>
            </w:r>
          </w:hyperlink>
        </w:p>
        <w:p>
          <w:pPr>
            <w:pStyle w:val="11"/>
            <w:ind w:left="360"/>
            <w:tabs>
              <w:tab w:val="right" w:leader="dot" w:pos="9026"/>
            </w:tabs>
            <w:spacing w:before="120" w:after="60"/>
          </w:pPr>
          <w:hyperlink w:anchor="_Toc100015" w:history="1">
            <w:r>
              <w:rPr>
                <w:rStyle w:val="Hyperlink"/>
              </w:rPr>
              <w:t>Prioridad 1: Activar señales existentes sin código nuevo</w:t>
            </w:r>
            <w:r>
              <w:tab/>
            </w:r>
            <w:r>
              <w:fldChar w:fldCharType="begin"/>
            </w:r>
            <w:r>
              <w:instrText xml:space="preserve"> PAGEREF _Toc100015 \h </w:instrText>
            </w:r>
            <w:r>
              <w:fldChar w:fldCharType="separate"/>
            </w:r>
            <w:r>
              <w:t>5</w:t>
            </w:r>
            <w:r>
              <w:fldChar w:fldCharType="end"/>
            </w:r>
          </w:hyperlink>
        </w:p>
        <w:p>
          <w:pPr>
            <w:pStyle w:val="11"/>
            <w:ind w:left="360"/>
            <w:tabs>
              <w:tab w:val="right" w:leader="dot" w:pos="9026"/>
            </w:tabs>
            <w:spacing w:before="120" w:after="60"/>
          </w:pPr>
          <w:hyperlink w:anchor="_Toc100016" w:history="1">
            <w:r>
              <w:rPr>
                <w:rStyle w:val="Hyperlink"/>
              </w:rPr>
              <w:t>Prioridad 2: Nuevas correlaciones con queries existentes</w:t>
            </w:r>
            <w:r>
              <w:tab/>
            </w:r>
            <w:r>
              <w:fldChar w:fldCharType="begin"/>
            </w:r>
            <w:r>
              <w:instrText xml:space="preserve"> PAGEREF _Toc100016 \h </w:instrText>
            </w:r>
            <w:r>
              <w:fldChar w:fldCharType="separate"/>
            </w:r>
            <w:r>
              <w:t>6</w:t>
            </w:r>
            <w:r>
              <w:fldChar w:fldCharType="end"/>
            </w:r>
          </w:hyperlink>
        </w:p>
        <w:p>
          <w:pPr>
            <w:pStyle w:val="11"/>
            <w:ind w:left="360"/>
            <w:tabs>
              <w:tab w:val="right" w:leader="dot" w:pos="9026"/>
            </w:tabs>
            <w:spacing w:before="120" w:after="60"/>
          </w:pPr>
          <w:hyperlink w:anchor="_Toc100017" w:history="1">
            <w:r>
              <w:rPr>
                <w:rStyle w:val="Hyperlink"/>
              </w:rPr>
              <w:t>Prioridad 3: Requiere query nueva (sin modificar Prisma)</w:t>
            </w:r>
            <w:r>
              <w:tab/>
            </w:r>
            <w:r>
              <w:fldChar w:fldCharType="begin"/>
            </w:r>
            <w:r>
              <w:instrText xml:space="preserve"> PAGEREF _Toc100017 \h </w:instrText>
            </w:r>
            <w:r>
              <w:fldChar w:fldCharType="separate"/>
            </w:r>
            <w:r>
              <w:t>6</w:t>
            </w:r>
            <w:r>
              <w:fldChar w:fldCharType="end"/>
            </w:r>
          </w:hyperlink>
        </w:p>
        <w:p>
          <w:pPr>
            <w:pStyle w:val="11"/>
            <w:ind w:left="360"/>
            <w:tabs>
              <w:tab w:val="right" w:leader="dot" w:pos="9026"/>
            </w:tabs>
            <w:spacing w:before="120" w:after="60"/>
          </w:pPr>
          <w:hyperlink w:anchor="_Toc100018" w:history="1">
            <w:r>
              <w:rPr>
                <w:rStyle w:val="Hyperlink"/>
              </w:rPr>
              <w:t>Prioridad 4: No posible sin modificar datos</w:t>
            </w:r>
            <w:r>
              <w:tab/>
            </w:r>
            <w:r>
              <w:fldChar w:fldCharType="begin"/>
            </w:r>
            <w:r>
              <w:instrText xml:space="preserve"> PAGEREF _Toc100018 \h </w:instrText>
            </w:r>
            <w:r>
              <w:fldChar w:fldCharType="separate"/>
            </w:r>
            <w:r>
              <w:t>6</w:t>
            </w:r>
            <w:r>
              <w:fldChar w:fldCharType="end"/>
            </w:r>
          </w:hyperlink>
        </w:p>
        <w:p>
          <w:pPr>
            <w:pStyle w:val="9"/>
            <w:tabs>
              <w:tab w:val="right" w:leader="dot" w:pos="9026"/>
            </w:tabs>
            <w:spacing w:before="120" w:after="60"/>
          </w:pPr>
          <w:hyperlink w:anchor="_Toc100019" w:history="1">
            <w:r>
              <w:rPr>
                <w:rStyle w:val="Hyperlink"/>
              </w:rPr>
              <w:t>Mapa Completo de Conexiones entre Imperios</w:t>
            </w:r>
            <w:r>
              <w:tab/>
            </w:r>
            <w:r>
              <w:fldChar w:fldCharType="begin"/>
            </w:r>
            <w:r>
              <w:instrText xml:space="preserve"> PAGEREF _Toc100019 \h </w:instrText>
            </w:r>
            <w:r>
              <w:fldChar w:fldCharType="separate"/>
            </w:r>
            <w:r>
              <w:t>6</w:t>
            </w:r>
            <w:r>
              <w:fldChar w:fldCharType="end"/>
            </w:r>
          </w:hyperlink>
        </w:p>
        <w:p>
          <w:pPr>
            <w:pStyle w:val="9"/>
            <w:tabs>
              <w:tab w:val="right" w:leader="dot" w:pos="9026"/>
            </w:tabs>
            <w:spacing w:before="120" w:after="60"/>
          </w:pPr>
          <w:hyperlink w:anchor="_Toc100020" w:history="1">
            <w:r>
              <w:rPr>
                <w:rStyle w:val="Hyperlink"/>
              </w:rPr>
              <w:t>Anexo: Ficheros Auditados</w:t>
            </w:r>
            <w:r>
              <w:tab/>
            </w:r>
            <w:r>
              <w:fldChar w:fldCharType="begin"/>
            </w:r>
            <w:r>
              <w:instrText xml:space="preserve"> PAGEREF _Toc100020 \h </w:instrText>
            </w:r>
            <w:r>
              <w:fldChar w:fldCharType="separate"/>
            </w:r>
            <w:r>
              <w:t>6</w:t>
            </w:r>
            <w:r>
              <w:fldChar w:fldCharType="end"/>
            </w:r>
          </w:hyperlink>
        </w:p>
        <w:p>
          <w:r>
            <w:fldChar w:fldCharType="end"/>
          </w:r>
        </w:p>
      </w:sdtContent>
    </w:sdt>
    <w:p>
      <w:pPr>
        <w:spacing w:before="200"/>
      </w:pPr>
      <w:r>
        <w:rPr>
          <w:i/>
          <w:iCs/>
          <w:color w:val="888888"/>
          <w:sz w:val="18"/>
          <w:szCs w:val="18"/>
        </w:rPr>
        <w:t xml:space="preserve">Nota: Este índice se genera mediante códigos de campo. Para asegurar la precisión de los números de página, haga clic derecho sobre el índice y seleccione «Actualizar campo».</w:t>
      </w:r>
    </w:p>
    <w:p>
      <w:r>
        <w:br w:type="page"/>
      </w:r>
    </w:p>
    <w:p>
      <w:pPr>
        <w:sectPr>
          <w:type w:val="nextPage"/>
          <w:pgSz w:w="11906" w:h="16838" w:orient="portrait"/>
          <w:pgMar w:top="1440" w:right="1417" w:bottom="1440" w:left="1701" w:header="708" w:footer="708" w:gutter="0"/>
          <w:pgNumType/>
          <w:docGrid w:linePitch="360"/>
        </w:sectPr>
      </w:pPr>
    </w:p>
    <w:p>
      <w:pPr>
        <w:pStyle w:val="Heading1"/>
        <w:spacing w:after="200" w:before="480"/>
      </w:pPr>
      <w:bookmarkStart w:id="100000" w:name="_Toc100000"/>
      <w:r>
        <w:rPr>
          <w:rFonts w:ascii="Calibri" w:eastAsia="Microsoft YaHei"/>
          <w:b/>
          <w:bCs/>
          <w:color w:val="0F172A"/>
          <w:sz w:val="32"/>
          <w:szCs w:val="32"/>
        </w:rPr>
        <w:t xml:space="preserve">Resumen Ejecutivo</w:t>
      </w:r>
      <w:bookmarkEnd w:id="100000"/>
    </w:p>
    <w:p>
      <w:pPr>
        <w:spacing w:after="80" w:line="312"/>
        <w:jc w:val="both"/>
      </w:pPr>
      <w:r>
        <w:rPr>
          <w:rFonts w:ascii="Calibri" w:eastAsia="Microsoft YaHei"/>
          <w:color w:val="1A2B40"/>
          <w:sz w:val="24"/>
          <w:szCs w:val="24"/>
        </w:rPr>
        <w:t xml:space="preserve">Esta auditoría forense analiza la totalidad del código fuente de VitaZen (29 modelos Prisma, 47 rutas API, 5 cron jobs, 45 logros, 7 detectores de patrones) para responder a una pregunta: ¿qué señales objetivas puede obtener VitaZen con la información que ya almacena, sin modificar la base de datos, sin añadir IA y sin inventar nada?</w:t>
      </w:r>
    </w:p>
    <w:p>
      <w:pPr>
        <w:spacing w:after="80" w:line="312"/>
        <w:jc w:val="both"/>
      </w:pPr>
      <w:r>
        <w:rPr>
          <w:rFonts w:ascii="Calibri" w:eastAsia="Microsoft YaHei"/>
          <w:color w:val="1A2B40"/>
          <w:sz w:val="24"/>
          <w:szCs w:val="24"/>
        </w:rPr>
        <w:t xml:space="preserve">El resultado revela que VitaZen ya posee los datos para calcular 68 señales distribuidas en cinco imperios, de las cuales 19 están completamente infrautilizadas: se almacenan, se calculan o se devuelven por API, pero nunca se muestran al usuario. El motor de patrones actual cubre 7 conexiones entre imperios sobre 10 combinaciones posibles, y existe un segundo motor (engine.ts) con 2 conexiones adicionales que no se consumen desde ningún módulo. Además, se identificaron 2 componentes completamente muertos (MomentumCard, WeeklyRecap) que ejecutan 25+ consultas pesadas sin renderizarse en ninguna página.</w:t>
      </w:r>
    </w:p>
    <w:p>
      <w:pPr>
        <w:spacing w:after="80" w:line="312"/>
        <w:jc w:val="both"/>
      </w:pPr>
      <w:r>
        <w:rPr>
          <w:rFonts w:ascii="Calibri" w:eastAsia="Microsoft YaHei"/>
          <w:color w:val="1A2B40"/>
          <w:sz w:val="24"/>
          <w:szCs w:val="24"/>
        </w:rPr>
        <w:t xml:space="preserve">Las conexiones entre Disciplina y cualquier otro imperio son imposibles con la estructura actual de datos, ya que HabitLog solo almacena un timestamp de última compleción (lastCompletedAt) y no un historial por semana. Igualmente, las conexiones con Crecimiento requieren el contenido textual del diario, lo que necesita NLP o cambios de query. Ambas limitaciones están documentadas explícitamente en engine.ts líneas 25-31.</w:t>
      </w:r>
    </w:p>
    <w:p>
      <w:pPr>
        <w:pStyle w:val="Heading1"/>
        <w:spacing w:after="200" w:before="480"/>
      </w:pPr>
      <w:bookmarkStart w:id="100001" w:name="_Toc100001"/>
      <w:r>
        <w:rPr>
          <w:rFonts w:ascii="Calibri" w:eastAsia="Microsoft YaHei"/>
          <w:b/>
          <w:bCs/>
          <w:color w:val="0F172A"/>
          <w:sz w:val="32"/>
          <w:szCs w:val="32"/>
        </w:rPr>
        <w:t xml:space="preserve">Señales Detectadas</w:t>
      </w:r>
      <w:bookmarkEnd w:id="100001"/>
    </w:p>
    <w:p>
      <w:pPr>
        <w:spacing w:after="80" w:line="312"/>
        <w:jc w:val="both"/>
      </w:pPr>
      <w:r>
        <w:rPr>
          <w:rFonts w:ascii="Calibri" w:eastAsia="Microsoft YaHei"/>
          <w:color w:val="1A2B40"/>
          <w:sz w:val="24"/>
          <w:szCs w:val="24"/>
        </w:rPr>
        <w:t xml:space="preserve">A continuación se detallan todas las señales objetivas que VitaZen puede calcular con los datos actuales, agrupadas por imperio. Cada señal incluye su fuente de datos (modelo Prisma), dónde se calcula actualmente (archivo y función), y si está activamente utilizada o infrautilizada.</w:t>
      </w:r>
    </w:p>
    <w:p>
      <w:pPr>
        <w:pStyle w:val="Heading2"/>
        <w:spacing w:after="160" w:before="360"/>
      </w:pPr>
      <w:bookmarkStart w:id="100002" w:name="_Toc100002"/>
      <w:r>
        <w:rPr>
          <w:rFonts w:ascii="Calibri" w:eastAsia="Microsoft YaHei"/>
          <w:b/>
          <w:bCs/>
          <w:color w:val="0F172A"/>
          <w:sz w:val="28"/>
          <w:szCs w:val="28"/>
        </w:rPr>
        <w:t xml:space="preserve">Disciplina</w:t>
      </w:r>
      <w:bookmarkEnd w:id="100002"/>
    </w:p>
    <w:p>
      <w:pPr>
        <w:spacing w:after="80" w:line="312"/>
        <w:jc w:val="both"/>
      </w:pPr>
      <w:r>
        <w:rPr>
          <w:rFonts w:ascii="Calibri" w:eastAsia="Microsoft YaHei"/>
          <w:color w:val="1A2B40"/>
          <w:sz w:val="24"/>
          <w:szCs w:val="24"/>
        </w:rPr>
        <w:t xml:space="preserve">El imperio de Disciplina se sustenta en tres modelos: HabitLog (rastreo de hábitos con frecuencia, racha y marca temporal), UserChallenge (desafíos diarios asignados) y DailyCheckin (check-in emocional diario que otorga XP a Disciplina). Las señales disponibles abarcan desde la racha actual de cada hábito hasta el porcentaje de cumplimiento semanal y la recuperación tras periodos de abandono.</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Señal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Fuente</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Cálculo Actual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Estado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Hábitos totales activos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HabitLog.count()</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achievements.ts:calculateProgress()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Racha actual por hábito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HabitLog.streak</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API /api/habits GET, dashboard/streaks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Racha máxima histórica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Math.max(HabitLog.streak)</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achievements.ts:calculateProgress()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Frecuencia (diaria/semanal/mensual)</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HabitLog.frequency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API PATCH /api/habits (streak logic)</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Check-ins completados (semana)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DailyCheckin.count(7d)</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insights.ts:buildSummary()</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Check-ins completados (histórico)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DailyCheckin.count()</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achievements.ts:calculateProgress()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Racha general de check-ins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calcStreak(DailyCheckin.dates)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dashboard/streaks, dashboard/momentum</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Días activos (Set de fechas)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Meditation+Habit+Journal+Checkin+Wellness+Nutrition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dashboard/momentum, dashboard/progress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XP y nivel de imperio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EmpireProgress.xp, level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API /api/empire GET</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Racha de imperio (Disciplina)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EmpireProgress.streak</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API /api/empire GET</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Cumplimiento por franja horaria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DailyCheckin.createdAt (por hora)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calculado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utilizado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Tendencia semanal de actividad</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count(7d) vs count(14d)</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dashboard/momentum (trend)</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Desafíos completados vs asignados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UserChallenge.completed</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API /api/challenges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bl>
    <w:p>
      <w:pPr>
        <w:pStyle w:val="Heading2"/>
        <w:spacing w:after="160" w:before="360"/>
      </w:pPr>
      <w:bookmarkStart w:id="100003" w:name="_Toc100003"/>
      <w:r>
        <w:rPr>
          <w:rFonts w:ascii="Calibri" w:eastAsia="Microsoft YaHei"/>
          <w:b/>
          <w:bCs/>
          <w:color w:val="0F172A"/>
          <w:sz w:val="28"/>
          <w:szCs w:val="28"/>
        </w:rPr>
        <w:t xml:space="preserve">Mente</w:t>
      </w:r>
      <w:bookmarkEnd w:id="100003"/>
    </w:p>
    <w:p>
      <w:pPr>
        <w:spacing w:after="80" w:line="312"/>
        <w:jc w:val="both"/>
      </w:pPr>
      <w:r>
        <w:rPr>
          <w:rFonts w:ascii="Calibri" w:eastAsia="Microsoft YaHei"/>
          <w:color w:val="1A2B40"/>
          <w:sz w:val="24"/>
          <w:szCs w:val="24"/>
        </w:rPr>
        <w:t xml:space="preserve">El imperio de Mente se basa en MeditationSession (sesiones con duración, tipo y marca temporal) y DailyCheckin (cuyas métricas de foco alimentan el estado emocional). El sistema calcula la consistencia de meditación, la diversificación de técnicas, y la relación entre sesiones de meditación y estabilidad financiera o nivel de energía a través de correlaciones de Pearson semanales.</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Señal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Fuente</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Cálculo Actual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Estado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Sesiones totales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MeditationSession.count()</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insights.ts, achievements.ts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Sesiones semanales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MeditationSession.count(7d)</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insights.ts:buildSummary()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Minutos totales de meditación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sum(MeditationSession.duration)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insights.ts:buildSummary()</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Duración media por sesión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avg(MeditationSession.duration)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insights.ts:buildSummary()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Tipos de meditación utilizados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distinct(MeditationSession.type)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achievements.ts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Diversificación técnica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distinct count de tipos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achievements.ts (meditation_variety)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Consistencia semanal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count(7d) / target(4)</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emotional-state.ts:computeFocus()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Promedio de foco (check-in)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avg(DailyCheckin.focus)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emotional-state.ts:computeFocus()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Infrautilizado*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Racha de meditación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calcStreak(sessions.completedAt)</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dashboard/streaks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Correlación meditación-gastos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Pearson(sessions, 1-impulsiveRatio)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patterns/engine.ts:detectMentalPracticeFinancialStability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Correlación foco-meditación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Pearson(checkin.focus, meditation.minutes)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patterns/engine.ts:detectCheckinMeditationConnection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consumido</w:t>
            </w:r>
          </w:p>
        </w:tc>
      </w:tr>
    </w:tbl>
    <w:p>
      <w:pPr>
        <w:spacing w:after="80" w:line="312"/>
        <w:jc w:val="both"/>
      </w:pPr>
      <w:r>
        <w:rPr>
          <w:rFonts w:ascii="Calibri" w:eastAsia="Microsoft YaHei"/>
          <w:color w:val="1A2B40"/>
          <w:sz w:val="24"/>
          <w:szCs w:val="24"/>
        </w:rPr>
        <w:t xml:space="preserve">*El promedio de foco se calcula en emotional-state.ts y se devuelve por la API /api/emotional-state y /api/insights, pero el componente Insights solo muestra 3 de 4 promedios (emotion, energy, stress). El campo avgFocus se calcula, se envía al cliente y se descarta sin renderizar.</w:t>
      </w:r>
    </w:p>
    <w:p>
      <w:pPr>
        <w:pStyle w:val="Heading2"/>
        <w:spacing w:after="160" w:before="360"/>
      </w:pPr>
      <w:bookmarkStart w:id="100004" w:name="_Toc100004"/>
      <w:r>
        <w:rPr>
          <w:rFonts w:ascii="Calibri" w:eastAsia="Microsoft YaHei"/>
          <w:b/>
          <w:bCs/>
          <w:color w:val="0F172A"/>
          <w:sz w:val="28"/>
          <w:szCs w:val="28"/>
        </w:rPr>
        <w:t xml:space="preserve">Energía</w:t>
      </w:r>
      <w:bookmarkEnd w:id="100004"/>
    </w:p>
    <w:p>
      <w:pPr>
        <w:spacing w:after="80" w:line="312"/>
        <w:jc w:val="both"/>
      </w:pPr>
      <w:r>
        <w:rPr>
          <w:rFonts w:ascii="Calibri" w:eastAsia="Microsoft YaHei"/>
          <w:color w:val="1A2B40"/>
          <w:sz w:val="24"/>
          <w:szCs w:val="24"/>
        </w:rPr>
        <w:t xml:space="preserve">El imperio de Energía es el más rico en métricas, con dos modelos complementarios: WellnessLog (estado subjetivo 1-5 de mood, energy, sleep, stress con notas) y NutritionLog (comidas JSON, vasos de agua, calorías, notas). El XP de energía se otorga por el primer registro de wellness o nutrición del día (zona horaria Madrid), con verificación cruzada entre ambos modelos para evitar doble conteo.</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Señal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Fuente</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Cálculo Actual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Estado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Estado de ánimo (mood)</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WellnessLog.mood (1-5)</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emotional-state.ts, insights.ts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Nivel de energía auto-reportado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WellnessLog.energy (1-5)</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emotional-state.ts, insights.ts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Calidad de sueño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WellnessLog.sleep (1-5)</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emotional-state.ts, insights.ts, patterns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Nivel de estrés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WellnessLog.stress (1-5)</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emotional-state.ts, insights.ts, patterns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Promedios semanales (4 métricas)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avg(WellnessLog.*) por semana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patterns/aggregateWellnessWeekly()</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Vasos de agua diarios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NutritionLog.water</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insights.ts:avgWater</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Calorías registradas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NutritionLog.calories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API GET /api/nutrition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Días con registro de bienestar</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distinct(WellnessLog.date)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dashboard/progress, life-memory/stages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Días con registro de nutrición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distinct(NutritionLog.date)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dashboard/progress, life-memory/stages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Energía compuesta (0-100)</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70% checkin.energy + 30% sleep</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emotional-state.ts:computeEnergy()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Infrautilizado*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Tranquilidad compuesta (0-100)</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80% inversa(stress) + 20% inversa(wellness.stress)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emotional-state.ts:computeStress()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Infrautilizado*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Correlación energía-gastos impulsivos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Pearson(sleep, impulsiveRatio)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patterns/detector.ts:detectLowEnergyImpulsiveSpending</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Correlación estrés-gastos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Pearson(stress, totalExpense)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patterns/detector.ts:detectStressFinancialChange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Correlación sueño-gastos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Pearson(sleep, totalExpense)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patterns/detector.ts:detectSleepFinanceConnection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Correlación energía-meditación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Pearson(energy, meditation.minutes)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patterns/engine.ts:detectEnergyMeditationConnection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consumido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Contexto emocional del sueño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WellnessLog.notes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life-memory/stages.ts (no analizado)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 utilizado</w:t>
            </w:r>
          </w:p>
        </w:tc>
      </w:tr>
    </w:tbl>
    <w:p>
      <w:pPr>
        <w:spacing w:after="80" w:line="312"/>
        <w:jc w:val="both"/>
      </w:pPr>
      <w:r>
        <w:rPr>
          <w:rFonts w:ascii="Calibri" w:eastAsia="Microsoft YaHei"/>
          <w:color w:val="1A2B40"/>
          <w:sz w:val="24"/>
          <w:szCs w:val="24"/>
        </w:rPr>
        <w:t xml:space="preserve">*Las métricas compuestas de energía y tranquilidad se calculan en emotional-state.ts (0-100) con tendencia semanal para PREMIUM, se devuelven en la API /api/emotional-state, pero el componente EmotionalHero muestra únicamente texto cualitativo (statusLabel, recommendation). Los 6 valores numéricos con level y trend se calculan en servidor y se envían al cliente sin renderizar.</w:t>
      </w:r>
    </w:p>
    <w:p>
      <w:pPr>
        <w:pStyle w:val="Heading2"/>
        <w:spacing w:after="160" w:before="360"/>
      </w:pPr>
      <w:bookmarkStart w:id="100005" w:name="_Toc100005"/>
      <w:r>
        <w:rPr>
          <w:rFonts w:ascii="Calibri" w:eastAsia="Microsoft YaHei"/>
          <w:b/>
          <w:bCs/>
          <w:color w:val="0F172A"/>
          <w:sz w:val="28"/>
          <w:szCs w:val="28"/>
        </w:rPr>
        <w:t xml:space="preserve">Riqueza</w:t>
      </w:r>
      <w:bookmarkEnd w:id="100005"/>
    </w:p>
    <w:p>
      <w:pPr>
        <w:spacing w:after="80" w:line="312"/>
        <w:jc w:val="both"/>
      </w:pPr>
      <w:r>
        <w:rPr>
          <w:rFonts w:ascii="Calibri" w:eastAsia="Microsoft YaHei"/>
          <w:color w:val="1A2B40"/>
          <w:sz w:val="24"/>
          <w:szCs w:val="24"/>
        </w:rPr>
        <w:t xml:space="preserve">El imperio de Riqueza utiliza FinanceLog con una estructura única que combina datos financieros con contexto emocional: cada registro tiene tipo (income/expense), categoría, amount, mood (tranquility/growth/necessity/enjoyment) y contexto libre (campo 'contexto' en español). El mood de Finanzas es el único campo en toda la aplicación que captura la intención emocional de una acción financiera, lo cual lo convierte en una señal extremadamente valiosa para patrones cruzados.</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Señal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Fuente</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Cálculo Actual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Estado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Gastos totales (período)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sum(FinanceLog.amount, type=expense)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insights.ts:sumFinance(), dashboard/metrics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Ingresos totales (período)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sum(FinanceLog.amount, type=income)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insights.ts:sumFinance(), dashboard/metrics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Balance neto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income - expense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insights.ts, dashboard/metrics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Top categorías por importe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groupBy category, sum(amount)</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monthly-closure/digest.ts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Distribución de intenciones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count(FinanceLog.mood) por tipo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monthly-closure/digest.ts, patterns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Ratio de gastos impulsivos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enjoyment / totalExpense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patterns/aggregateFinanceWeekly()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Gastos sociales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SOCIAL_KEYWORDS.test(contexto)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patterns/aggregateFinanceWeekly():socialCount</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utilizado**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Diversificación de categorías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distinct(categories) por semana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patterns/aggregateFinanceWeekly():categoryCount</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 utilizado**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Contexto emocional libre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FinanceLog.contexto (texto)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almacenado, regex en frontend</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Infrautilizado***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Mood emocional del gasto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FinanceLog.mood</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patrones, monthly-closure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Evolución mensual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count(mes actual) vs count(mes anterior)</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monthly-closure/digest.ts:computeEvolution()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bl>
    <w:p>
      <w:pPr>
        <w:spacing w:after="80" w:line="312"/>
        <w:jc w:val="both"/>
      </w:pPr>
      <w:r>
        <w:rPr>
          <w:rFonts w:ascii="Calibri" w:eastAsia="Microsoft YaHei"/>
          <w:color w:val="1A2B40"/>
          <w:sz w:val="24"/>
          <w:szCs w:val="24"/>
        </w:rPr>
        <w:t xml:space="preserve">**socialCount y categoryCount se calculan en el motor de patrones como parte de la agregación semanal de finanzas, pero no se utilizan en ningún detector ni se exponen a ningún consumidor. Son señales calculadas y descartadas.</w:t>
      </w:r>
    </w:p>
    <w:p>
      <w:pPr>
        <w:spacing w:after="80" w:line="312"/>
        <w:jc w:val="both"/>
      </w:pPr>
      <w:r>
        <w:rPr>
          <w:rFonts w:ascii="Calibri" w:eastAsia="Microsoft YaHei"/>
          <w:color w:val="1A2B40"/>
          <w:sz w:val="24"/>
          <w:szCs w:val="24"/>
        </w:rPr>
        <w:t xml:space="preserve">***El campo contexto se almacena y se usa en el Cierre Mensual y Memoria de Vida. Sin embargo, en la página de Riqueza, el componente tiene una función CONTEXT_EMOTION_MAP que detecta emociones por regex sobre la descripción del gasto, calcula el resultado y luego lo descarta sin mostrarlo (comentario en código: 'for future emotional pattern detection').</w:t>
      </w:r>
    </w:p>
    <w:p>
      <w:pPr>
        <w:pStyle w:val="Heading2"/>
        <w:spacing w:after="160" w:before="360"/>
      </w:pPr>
      <w:bookmarkStart w:id="100006" w:name="_Toc100006"/>
      <w:r>
        <w:rPr>
          <w:rFonts w:ascii="Calibri" w:eastAsia="Microsoft YaHei"/>
          <w:b/>
          <w:bCs/>
          <w:color w:val="0F172A"/>
          <w:sz w:val="28"/>
          <w:szCs w:val="28"/>
        </w:rPr>
        <w:t xml:space="preserve">Crecimiento</w:t>
      </w:r>
      <w:bookmarkEnd w:id="100006"/>
    </w:p>
    <w:p>
      <w:pPr>
        <w:spacing w:after="80" w:line="312"/>
        <w:jc w:val="both"/>
      </w:pPr>
      <w:r>
        <w:rPr>
          <w:rFonts w:ascii="Calibri" w:eastAsia="Microsoft YaHei"/>
          <w:color w:val="1A2B40"/>
          <w:sz w:val="24"/>
          <w:szCs w:val="24"/>
        </w:rPr>
        <w:t xml:space="preserve">El imperio de Crecimiento utiliza JournalEntry con campos de contenido textual, mood opcional (1-5) y gratitude opcional. Es el único imperio donde el dato primario es texto libre, lo que limita las señales numéricas disponibles sin NLP. Sin embargo, las señales estructurales sí son ricas: frecuencia, continuidad, longitud, y presencia de gratitud.</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Señal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Fuente</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Cálculo Actual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Estado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Entradas totales del diario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JournalEntry.count()</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insights.ts, achievements.ts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Entradas semanales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JournalEntry.count(7d)</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insights.ts:buildSummary()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Mood del diario (opcional)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JournalEntry.mood (1-5)</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patterns (CrossEmpireData)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Entradas con gratitud</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JournalEntry.gratitude (not null)</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achievements.ts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Longitud media de entrada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avg(JournalEntry.content.length)</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calculado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utilizado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Frecuencia de escritura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count por periodo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insights.ts, life-memory/stages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Continuidad (días entre entradas)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JournalEntry.createdAt gaps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calculado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utilizado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Evolución temporal</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count(mes) vs count(mes-1)</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life-memory/stages.ts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Contenido para memoria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JournalEntry.content (truncated 120 chars)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life-memory/observations.ts:getHighlightedMemories()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Activo</w:t>
            </w:r>
          </w:p>
        </w:tc>
      </w:tr>
    </w:tbl>
    <w:p>
      <w:pPr>
        <w:pStyle w:val="Heading1"/>
        <w:spacing w:after="200" w:before="480"/>
      </w:pPr>
      <w:bookmarkStart w:id="100007" w:name="_Toc100007"/>
      <w:r>
        <w:rPr>
          <w:rFonts w:ascii="Calibri" w:eastAsia="Microsoft YaHei"/>
          <w:b/>
          <w:bCs/>
          <w:color w:val="0F172A"/>
          <w:sz w:val="32"/>
          <w:szCs w:val="32"/>
        </w:rPr>
        <w:t xml:space="preserve">Señales Infrautilizadas</w:t>
      </w:r>
      <w:bookmarkEnd w:id="100007"/>
    </w:p>
    <w:p>
      <w:pPr>
        <w:spacing w:after="80" w:line="312"/>
        <w:jc w:val="both"/>
      </w:pPr>
      <w:r>
        <w:rPr>
          <w:rFonts w:ascii="Calibri" w:eastAsia="Microsoft YaHei"/>
          <w:color w:val="1A2B40"/>
          <w:sz w:val="24"/>
          <w:szCs w:val="24"/>
        </w:rPr>
        <w:t xml:space="preserve">Se identifican 19 señales que se calculan, se almacenan o se devuelven por API pero que no se muestran al usuario. Estas representan valor latente que podría activarse sin modificar la base de datos ni la arquitectura, simplemente conectando datos ya disponibles a la interfaz existente.</w:t>
      </w:r>
    </w:p>
    <w:p>
      <w:pPr>
        <w:pStyle w:val="Heading2"/>
        <w:spacing w:after="160" w:before="360"/>
      </w:pPr>
      <w:bookmarkStart w:id="100008" w:name="_Toc100008"/>
      <w:r>
        <w:rPr>
          <w:rFonts w:ascii="Calibri" w:eastAsia="Microsoft YaHei"/>
          <w:b/>
          <w:bCs/>
          <w:color w:val="0F172A"/>
          <w:sz w:val="28"/>
          <w:szCs w:val="28"/>
        </w:rPr>
        <w:t xml:space="preserve">Componentes muertos (código que no se renderiza)</w:t>
      </w:r>
      <w:bookmarkEnd w:id="100008"/>
    </w:p>
    <w:p>
      <w:pPr>
        <w:spacing w:after="80" w:line="312"/>
        <w:jc w:val="both"/>
      </w:pPr>
      <w:r>
        <w:rPr>
          <w:rFonts w:ascii="Calibri" w:eastAsia="Microsoft YaHei"/>
          <w:b/>
          <w:bCs/>
          <w:color w:val="1A2B40"/>
          <w:sz w:val="24"/>
          <w:szCs w:val="24"/>
        </w:rPr>
        <w:t xml:space="preserve">MomentumCard (src/components/dashboard/MomentumCard.tsx): </w:t>
      </w:r>
      <w:r>
        <w:rPr>
          <w:rFonts w:ascii="Calibri" w:eastAsia="Microsoft YaHei"/>
          <w:color w:val="1A2B40"/>
          <w:sz w:val="24"/>
          <w:szCs w:val="24"/>
        </w:rPr>
        <w:t xml:space="preserve">Este componente existe, importa useApi y llama a GET /api/dashboard/momentum, que ejecuta 26 consultas Prisma en paralelo para calcular un score de momentum (0-100) con 7 sub-puntuaciones. Sin embargo, el componente no está importado ni renderizado en ninguna página del dashboard. Es código muerto completo que, de activarse, consumiría 25+ queries por cada carga del dashboard.</w:t>
      </w:r>
    </w:p>
    <w:p>
      <w:pPr>
        <w:spacing w:after="80" w:line="312"/>
        <w:jc w:val="both"/>
      </w:pPr>
      <w:r>
        <w:rPr>
          <w:rFonts w:ascii="Calibri" w:eastAsia="Microsoft YaHei"/>
          <w:b/>
          <w:bCs/>
          <w:color w:val="1A2B40"/>
          <w:sz w:val="24"/>
          <w:szCs w:val="24"/>
        </w:rPr>
        <w:t xml:space="preserve">WeeklyRecap (src/components/dashboard/WeeklyRecap.tsx): </w:t>
      </w:r>
      <w:r>
        <w:rPr>
          <w:rFonts w:ascii="Calibri" w:eastAsia="Microsoft YaHei"/>
          <w:color w:val="1A2B40"/>
          <w:sz w:val="24"/>
          <w:szCs w:val="24"/>
        </w:rPr>
        <w:t xml:space="preserve">Similar a MomentumCard, este componente llama a GET /api/weekly-recap, que a su vez ejecuta gatherData() con 14 consultas paralelas más cálculos de estado emocional y recomendaciones. No está montado en ninguna página. El endpoint weekly-recap sí se consume desde la página /insights, pero este componente específico del dashboard está huérfano.</w:t>
      </w:r>
    </w:p>
    <w:p>
      <w:pPr>
        <w:pStyle w:val="Heading2"/>
        <w:spacing w:after="160" w:before="360"/>
      </w:pPr>
      <w:bookmarkStart w:id="100009" w:name="_Toc100009"/>
      <w:r>
        <w:rPr>
          <w:rFonts w:ascii="Calibri" w:eastAsia="Microsoft YaHei"/>
          <w:b/>
          <w:bCs/>
          <w:color w:val="0F172A"/>
          <w:sz w:val="28"/>
          <w:szCs w:val="28"/>
        </w:rPr>
        <w:t xml:space="preserve">Métricas calculadas pero no mostradas</w:t>
      </w:r>
      <w:bookmarkEnd w:id="100009"/>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Señal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 calcula en</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 devuelve por API</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Se muestra en</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6 métricas de estado emocional (0-100 + trend)</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emotional-state.ts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Sí (/api/emotional-state)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(solo texto)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avgFocus de check-ins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insights.ts:buildSummary()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Sí (/api/insights)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 (falta en UI)</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Momentum score breakdown (7 sub-scores)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dashboard/momentum/route.ts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Sí (/api/dashboard/momentum)</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(componente muerto)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newlyUnlocked de logros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achievements.ts:checkAndUnlock()</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Sí (/api/achievements)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 (sin animación)</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Contexto emocional de finanzas (regex)</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Riqueza page.tsx (CONTEXT_EMOTION_MAP)</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se envía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(descartado)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Categoría y dificultad del desafío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API /api/challenges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Sí (en respuesta)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 (no renderizado)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socialCount (gastos sociales)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patterns/aggregateFinanceWeekly()</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categoryCount (diversificación)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patterns/aggregateFinanceWeekly()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Conexión energía-meditación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patterns/engine.ts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(no consumido)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Conexión checkin-meditación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patterns/engine.ts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 (no consumido)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Mood del gasto (FinanceLog.mood)</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almacenado en DB</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Sí (en /api/finance)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(no renderizado)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Evolución semana previa (trends)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emotional-state.ts (PREMIUM)</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Sí (en respuesta)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 (no renderizado)</w:t>
            </w:r>
          </w:p>
        </w:tc>
      </w:tr>
    </w:tbl>
    <w:p>
      <w:pPr>
        <w:pStyle w:val="Heading1"/>
        <w:spacing w:after="200" w:before="480"/>
      </w:pPr>
      <w:bookmarkStart w:id="100010" w:name="_Toc100010"/>
      <w:r>
        <w:rPr>
          <w:rFonts w:ascii="Calibri" w:eastAsia="Microsoft YaHei"/>
          <w:b/>
          <w:bCs/>
          <w:color w:val="0F172A"/>
          <w:sz w:val="32"/>
          <w:szCs w:val="32"/>
        </w:rPr>
        <w:t xml:space="preserve">Nuevas Conexiones Posibles</w:t>
      </w:r>
      <w:bookmarkEnd w:id="100010"/>
    </w:p>
    <w:p>
      <w:pPr>
        <w:spacing w:after="80" w:line="312"/>
        <w:jc w:val="both"/>
      </w:pPr>
      <w:r>
        <w:rPr>
          <w:rFonts w:ascii="Calibri" w:eastAsia="Microsoft YaHei"/>
          <w:color w:val="1A2B40"/>
          <w:sz w:val="24"/>
          <w:szCs w:val="24"/>
        </w:rPr>
        <w:t xml:space="preserve">Las siguientes conexiones podrían implementarse inmediatamente sin modificar Prisma, sin modificar la base de datos, sin IA y sin NLP. Todas usan datos que ya se almacenan y se consultan en otros contextos.</w:t>
      </w:r>
    </w:p>
    <w:p>
      <w:pPr>
        <w:pStyle w:val="Heading2"/>
        <w:spacing w:after="160" w:before="360"/>
      </w:pPr>
      <w:bookmarkStart w:id="100011" w:name="_Toc100011"/>
      <w:r>
        <w:rPr>
          <w:rFonts w:ascii="Calibri" w:eastAsia="Microsoft YaHei"/>
          <w:b/>
          <w:bCs/>
          <w:color w:val="0F172A"/>
          <w:sz w:val="28"/>
          <w:szCs w:val="28"/>
        </w:rPr>
        <w:t xml:space="preserve">Conexiones inmediatas (datos ya disponibles)</w:t>
      </w:r>
      <w:bookmarkEnd w:id="100011"/>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Conexión</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Imperios</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Método</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Datos Necesarios</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Dificultad</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Energía ↔ Meditación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Energía, Mente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Pearson semanal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WellnessLog.energy + MeditationSession.duration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 (ya existe en engine.ts)</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Check-in ↔ Meditación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Disciplina, Mente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Pearson semanal</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DailyCheckin.focus + MeditationSession.duration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Baja (ya existe en engine.ts)</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Estrés ↔ Frecuencia de escritura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Energía, Crecimiento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Pearson semanal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avg(stress) vs count(journal) por semana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Sueño ↔ Constancia de hábitos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Energía, Disciplina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Correlación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avg(sleep) vs count(habits with lastCompleted in week)</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Media (requiere query nueva)</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Mood del gasto ↔ Nivel de ánimo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Riqueza, Energía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Correlación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FinanceLog.mood distribution vs WellnessLog.mood</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Intención de gasto ↔ Crecimiento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Riqueza, Crecimiento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Correlación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growth ratio vs count(journal entries) por semana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Baja</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Balance financiero ↔ Estado emocional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Riqueza, Mente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Correlación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(income-expense) vs avg(DailyCheckin.emotion)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Agua diaria ↔ Nivel de energía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Energía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Correlación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NutritionLog.water vs WellnessLog.energy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Baja</w:t>
            </w:r>
          </w:p>
        </w:tc>
      </w:tr>
    </w:tbl>
    <w:p>
      <w:pPr>
        <w:pStyle w:val="Heading2"/>
        <w:spacing w:after="160" w:before="360"/>
      </w:pPr>
      <w:bookmarkStart w:id="100012" w:name="_Toc100012"/>
      <w:r>
        <w:rPr>
          <w:rFonts w:ascii="Calibri" w:eastAsia="Microsoft YaHei"/>
          <w:b/>
          <w:bCs/>
          <w:color w:val="0F172A"/>
          <w:sz w:val="28"/>
          <w:szCs w:val="28"/>
        </w:rPr>
        <w:t xml:space="preserve">Conexiones que requieren cambios de query (sin modificar Prisma)</w:t>
      </w:r>
      <w:bookmarkEnd w:id="100012"/>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Conexión</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Imperios</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Bloqueo Actual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Solución</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Hábitos ↔ *</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Disciplina, *</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HabitLog solo tiene lastCompletedAt (timestamp único), no historial por semana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Nueva query que cuente hábitos completados por semana usando lastCompletedAt agrupado por ISO week key</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Crecimiento ↔ *</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Crecimiento, *</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JournalEntry solo tiene texto + mood opcional, sin métrica numérica continua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Usar count de entradas y mood promedio como proxy (ya disponible)</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Nutrición ↔ *</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Energía, *</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NutritionLog no se usa en ningún detector de patrones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Agregar NutritionLog a CrossEmpireData y crear agregador semanal</w:t>
            </w:r>
          </w:p>
        </w:tc>
      </w:tr>
    </w:tbl>
    <w:p>
      <w:pPr>
        <w:pStyle w:val="Heading1"/>
        <w:spacing w:after="200" w:before="480"/>
      </w:pPr>
      <w:bookmarkStart w:id="100013" w:name="_Toc100013"/>
      <w:r>
        <w:rPr>
          <w:rFonts w:ascii="Calibri" w:eastAsia="Microsoft YaHei"/>
          <w:b/>
          <w:bCs/>
          <w:color w:val="0F172A"/>
          <w:sz w:val="32"/>
          <w:szCs w:val="32"/>
        </w:rPr>
        <w:t xml:space="preserve">Limitaciones Reales</w:t>
      </w:r>
      <w:bookmarkEnd w:id="100013"/>
    </w:p>
    <w:p>
      <w:pPr>
        <w:spacing w:after="80" w:line="312"/>
        <w:jc w:val="both"/>
      </w:pPr>
      <w:r>
        <w:rPr>
          <w:rFonts w:ascii="Calibri" w:eastAsia="Microsoft YaHei"/>
          <w:color w:val="1A2B40"/>
          <w:sz w:val="24"/>
          <w:szCs w:val="24"/>
        </w:rPr>
        <w:t xml:space="preserve">Las siguientes conexiones NO son posibles actualmente con la estructura de datos existente. Cada limitación se documenta con el dato exacto que falta y el modelo/campo responsable.</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Conexión Bloqueada</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Dato que Falta</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Modelo:Campo</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Explicación</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Disciplina ↔ Cualquier otro imperio (correlación semanal)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Historial de completación por semana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HabitLog no tiene registros individuales de completación; solo streak + lastCompletedAt</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Sin un log de eventos por completación, no se puede reconstruir qué hábitos se completaron en qué semana. lastCompletedAt es un único timestamp que se sobrescribe. Documentado en engine.ts líneas 25-26.</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Crecimiento ↔ Cualquier otro imperio (análisis de contenido)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Métricas numéricas del diario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JournalEntry solo tiene content (texto) + mood opcional</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Sin NLP no se puede extraer señales numéricas del texto libre. El mood opcional es un proxy débil. Documentado en engine.ts líneas 28-29.</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Correlación con contenido textual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Análisis semántico del texto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JournalEntry.content, FinanceLog.contexto, DailyCheckin.intention, WellnessLog.notes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Todos los campos de texto libre se almacenan pero nunca se procesan automáticamente. Requeriría NLP o un pipeline de clasificación.</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Patrones estacionales (por mes/trimestre)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Agregación temporal mensual en el motor de patrones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El motor solo agrega por semana (ISO week key)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Los life stages (stages.ts) sí agregan por mes, pero el motor de patrones (detector.ts/engine.ts) solo opera a nivel semanal con Pearson. No hay detección de patrones estacionales.</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Patrones diarios (intra-semana)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Granularidad diaria en el motor de patrones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El motor requiere mínimo 3 semanas de datos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se detectan patrones dentro de una misma semana (ej. los lunes son siempre peores). Todo se suaviza a nivel semanal.</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Detección de abandono temprano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Registro de cuándo un hábito fue abandonado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HabitLog no registra interrupciones, solo el timestamp más reciente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No se puede distinguir entre 'nunca completó hoy' y 'abandonó después de 30 días'. Solo se infiere indirectamente por la ausencia de lastCompletedAt reciente.</w:t>
            </w:r>
          </w:p>
        </w:tc>
      </w:tr>
    </w:tbl>
    <w:p>
      <w:pPr>
        <w:pStyle w:val="Heading1"/>
        <w:spacing w:after="200" w:before="480"/>
      </w:pPr>
      <w:bookmarkStart w:id="100014" w:name="_Toc100014"/>
      <w:r>
        <w:rPr>
          <w:rFonts w:ascii="Calibri" w:eastAsia="Microsoft YaHei"/>
          <w:b/>
          <w:bCs/>
          <w:color w:val="0F172A"/>
          <w:sz w:val="32"/>
          <w:szCs w:val="32"/>
        </w:rPr>
        <w:t xml:space="preserve">Prioridad de Implementación</w:t>
      </w:r>
      <w:bookmarkEnd w:id="100014"/>
    </w:p>
    <w:p>
      <w:pPr>
        <w:spacing w:after="80" w:line="312"/>
        <w:jc w:val="both"/>
      </w:pPr>
      <w:r>
        <w:rPr>
          <w:rFonts w:ascii="Calibri" w:eastAsia="Microsoft YaHei"/>
          <w:color w:val="1A2B40"/>
          <w:sz w:val="24"/>
          <w:szCs w:val="24"/>
        </w:rPr>
        <w:t xml:space="preserve">Las nuevas conexiones se priorizan según valor para el usuario (capacidad de generar observaciones significativas), facilidad de implementación (datos ya disponibles vs. query nueva), y reutilización potencial por los cuatro módulos consumidores: Observaciones, Tu Evolución (insights), Cierre Mensual y Mentor IA.</w:t>
      </w:r>
    </w:p>
    <w:p>
      <w:pPr>
        <w:pStyle w:val="Heading2"/>
        <w:spacing w:after="160" w:before="360"/>
      </w:pPr>
      <w:bookmarkStart w:id="100015" w:name="_Toc100015"/>
      <w:r>
        <w:rPr>
          <w:rFonts w:ascii="Calibri" w:eastAsia="Microsoft YaHei"/>
          <w:b/>
          <w:bCs/>
          <w:color w:val="0F172A"/>
          <w:sz w:val="28"/>
          <w:szCs w:val="28"/>
        </w:rPr>
        <w:t xml:space="preserve">Prioridad 1: Activar señales existentes sin código nuevo</w:t>
      </w:r>
      <w:bookmarkEnd w:id="100015"/>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Acción</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Valor</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Facilidad</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Reutilización</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Mostrar avgFocus en Insights (falta en UI)</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Alto: completa la cuarta métrica faltante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Trivial: 1 línea en componente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Insights</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Consumir detectEnergyMeditationConnection desde engine.ts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Alto: conexión Energía-Mente ya calculada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Baja: ya existe en engine.ts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Observaciones, Mentor</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Consumir detectCheckinMeditationConnection desde engine.ts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Alto: conexión Disciplina-Mente ya calculada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 ya existe en engine.ts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Observaciones, Mentor</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Mostrar newlyUnlocked en Logros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Medio: engagement al desbloquear</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Baja: animación CSS + badge</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Logros</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Mostrar mood del gasto en Riqueza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Medio: contexto emocional del gasto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 campo ya en respuesta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Riqueza</w:t>
            </w:r>
          </w:p>
        </w:tc>
      </w:tr>
    </w:tbl>
    <w:p>
      <w:pPr>
        <w:pStyle w:val="Heading2"/>
        <w:spacing w:after="160" w:before="360"/>
      </w:pPr>
      <w:bookmarkStart w:id="100016" w:name="_Toc100016"/>
      <w:r>
        <w:rPr>
          <w:rFonts w:ascii="Calibri" w:eastAsia="Microsoft YaHei"/>
          <w:b/>
          <w:bCs/>
          <w:color w:val="0F172A"/>
          <w:sz w:val="28"/>
          <w:szCs w:val="28"/>
        </w:rPr>
        <w:t xml:space="preserve">Prioridad 2: Nuevas correlaciones con queries existentes</w:t>
      </w:r>
      <w:bookmarkEnd w:id="100016"/>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Acción</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Valor</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Facilidad</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Reutilización</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Estrés ↔ Frecuencia de escritura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Alto: conexión Energía-Crecimiento sin query nueva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 datos ya en CrossEmpireData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Observaciones, Mentor, Mensual</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Balance financiero ↔ Estado emocional</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Alto: conexión Riqueza-Mente directa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Baja: datos ya disponibles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Observaciones, Mentor, Mensual</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Mood del gasto ↔ Nivel de ánimo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Medio: conexión Riqueza-Energía por intención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 mood ya en FinanceLog</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Observaciones, Mentor</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Intención de gasto ↔ Crecimiento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Medio: conexión Riqueza-Crecimiento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Baja: intencionDistribution ya calculada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Observaciones, Mentor</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Agua diaria ↔ Energía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Medio: conexión intra-Energía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Media: requiere agregar NutritionLog a CrossEmpireData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Observaciones, Mentor, Mensual</w:t>
            </w:r>
          </w:p>
        </w:tc>
      </w:tr>
    </w:tbl>
    <w:p>
      <w:pPr>
        <w:pStyle w:val="Heading2"/>
        <w:spacing w:after="160" w:before="360"/>
      </w:pPr>
      <w:bookmarkStart w:id="100017" w:name="_Toc100017"/>
      <w:r>
        <w:rPr>
          <w:rFonts w:ascii="Calibri" w:eastAsia="Microsoft YaHei"/>
          <w:b/>
          <w:bCs/>
          <w:color w:val="0F172A"/>
          <w:sz w:val="28"/>
          <w:szCs w:val="28"/>
        </w:rPr>
        <w:t xml:space="preserve">Prioridad 3: Requiere query nueva (sin modificar Prisma)</w:t>
      </w:r>
      <w:bookmarkEnd w:id="100017"/>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Acción</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Valor</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Facilidad</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Reutilización</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Hábitos por semana (nueva query)</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Alto: desbloquea Disciplina ↔ *</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Media: query nueva agrupando lastCompletedAt por ISO week</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Todas</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Nutrición en motor de patrones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Medio: riqueza de datos intra-Energía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Media: agregar a CrossEmpireData + agregador semanal</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Observaciones, Mentor</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Longitud media del diario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Bajo: proxy débil de profundidad</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Baja: avg(content.length) por semana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Observaciones</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Continuidad del diario (gaps entre entradas)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Bajo: señal de abandono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Baja: diff entre createdAt consecutivos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Observaciones, Mentor</w:t>
            </w:r>
          </w:p>
        </w:tc>
      </w:tr>
    </w:tbl>
    <w:p>
      <w:pPr>
        <w:pStyle w:val="Heading2"/>
        <w:spacing w:after="160" w:before="360"/>
      </w:pPr>
      <w:bookmarkStart w:id="100018" w:name="_Toc100018"/>
      <w:r>
        <w:rPr>
          <w:rFonts w:ascii="Calibri" w:eastAsia="Microsoft YaHei"/>
          <w:b/>
          <w:bCs/>
          <w:color w:val="0F172A"/>
          <w:sz w:val="28"/>
          <w:szCs w:val="28"/>
        </w:rPr>
        <w:t xml:space="preserve">Prioridad 4: No posible sin modificar datos</w:t>
      </w:r>
      <w:bookmarkEnd w:id="100018"/>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Bloqueo</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Qué se necesitaría</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Impacto en el Sprint de Conexiones</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Disciplina no tiene historial semanal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Tabla nueva HabitCompletionLog o campo completions[] JSON en HabitLog</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Fuera del alcance actual. El engine.ts ya documenta esta limitación.</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Crecimiento no tiene métricas numéricas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NLP para análisis de sentimiento, o campo mood obligatorio + word count</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Usar count+avgMood como proxy es la opción actual. NLP queda fuera del alcance.</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 hay granularidad diaria en patrones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Rediseño del motor para soportar agregación diaria + semanal</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Los life stages ya trabajan a nivel mensual. Se podría extender el engine.</w:t>
            </w:r>
          </w:p>
        </w:tc>
      </w:tr>
    </w:tbl>
    <w:p>
      <w:pPr>
        <w:pStyle w:val="Heading1"/>
        <w:spacing w:after="200" w:before="480"/>
      </w:pPr>
      <w:bookmarkStart w:id="100019" w:name="_Toc100019"/>
      <w:r>
        <w:rPr>
          <w:rFonts w:ascii="Calibri" w:eastAsia="Microsoft YaHei"/>
          <w:b/>
          <w:bCs/>
          <w:color w:val="0F172A"/>
          <w:sz w:val="32"/>
          <w:szCs w:val="32"/>
        </w:rPr>
        <w:t xml:space="preserve">Mapa Completo de Conexiones entre Imperios</w:t>
      </w:r>
      <w:bookmarkEnd w:id="100019"/>
    </w:p>
    <w:p>
      <w:pPr>
        <w:spacing w:after="80" w:line="312"/>
        <w:jc w:val="both"/>
      </w:pPr>
      <w:r>
        <w:rPr>
          <w:rFonts w:ascii="Calibri" w:eastAsia="Microsoft YaHei"/>
          <w:color w:val="1A2B40"/>
          <w:sz w:val="24"/>
          <w:szCs w:val="24"/>
        </w:rPr>
        <w:t xml:space="preserve">De las 10 combinaciones posibles entre los 5 imperios (C(5,2) = 10), el estado actual es el siguiente:</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Combinación</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Estado Actual</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Detector Existente</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Consumido Por</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Disciplina ↔ Mente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2 detectores existentes, NO consumidos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checkin-meditation (engine.ts)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Ningún módulo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Disciplina ↔ Energía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Imposible sin query nueva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Ninguno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N/A</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Disciplina ↔ Riqueza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Imposible sin query nueva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Ninguno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N/A</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Disciplina ↔ Crecimiento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Imposible sin NLP o query nueva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Ninguno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N/A</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Mente ↔ Energía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1 detector existente, NO consumido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energy-meditation (engine.ts)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Ningún módulo</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Mente ↔ Riqueza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 (3 detectores + 1 crecimiento)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finanzas-mente (detector.ts)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Observaciones (/api/patterns)</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Mente ↔ Crecimiento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Posible con count+mood como proxy</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Ninguno (aún)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N/A</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Energía ↔ Riqueza</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Activo (4 detectores)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finanzas-energia, estres, sueño, crecimiento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Observaciones (/api/patterns)</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Energía ↔ Crecimiento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Posible (estrés vs count diario)</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Ninguno (aún)</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N/A</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Riqueza ↔ Crecimiento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Posible (intención vs count diario)</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Ninguno (aún)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N/A</w:t>
            </w:r>
          </w:p>
        </w:tc>
      </w:tr>
    </w:tbl>
    <w:p>
      <w:pPr>
        <w:spacing w:after="80" w:line="312"/>
        <w:jc w:val="both"/>
      </w:pPr>
      <w:r>
        <w:rPr>
          <w:rFonts w:ascii="Calibri" w:eastAsia="Microsoft YaHei"/>
          <w:color w:val="1A2B40"/>
          <w:sz w:val="24"/>
          <w:szCs w:val="24"/>
        </w:rPr>
        <w:t xml:space="preserve">Resumen: 5 de 10 combinaciones tienen al menos un detector activo. 2 tienen detectores existentes pero no consumidos. 3 son posibles sin modificar Prisma (usando proxies). 2 están bloqueadas sin cambios estructurales en los datos de Disciplina o NLP para Crecimiento.</w:t>
      </w:r>
    </w:p>
    <w:p>
      <w:pPr>
        <w:pStyle w:val="Heading1"/>
        <w:spacing w:after="200" w:before="480"/>
      </w:pPr>
      <w:bookmarkStart w:id="100020" w:name="_Toc100020"/>
      <w:r>
        <w:rPr>
          <w:rFonts w:ascii="Calibri" w:eastAsia="Microsoft YaHei"/>
          <w:b/>
          <w:bCs/>
          <w:color w:val="0F172A"/>
          <w:sz w:val="32"/>
          <w:szCs w:val="32"/>
        </w:rPr>
        <w:t xml:space="preserve">Anexo: Ficheros Auditados</w:t>
      </w:r>
      <w:bookmarkEnd w:id="100020"/>
    </w:p>
    <w:p>
      <w:pPr>
        <w:spacing w:after="80" w:line="312"/>
        <w:jc w:val="both"/>
      </w:pPr>
      <w:r>
        <w:rPr>
          <w:rFonts w:ascii="Calibri" w:eastAsia="Microsoft YaHei"/>
          <w:color w:val="1A2B40"/>
          <w:sz w:val="24"/>
          <w:szCs w:val="24"/>
        </w:rPr>
        <w:t xml:space="preserve">Esta auditoría cubrió los siguientes archivos del repositorio, verificando cada señal contra el código real:</w:t>
      </w:r>
    </w:p>
    <w:tbl>
      <w:tblPr>
        <w:tblW w:type="pct" w:w="100%"/>
        <w:tblBorders>
          <w:top w:val="single" w:color="1B6B7A" w:sz="2"/>
          <w:left w:val="none"/>
          <w:bottom w:val="single" w:color="1B6B7A" w:sz="2"/>
          <w:right w:val="none"/>
          <w:insideH w:val="single" w:color="C8DDE2" w:sz="1"/>
          <w:insideV w:val="none"/>
        </w:tblBorders>
        <w:tblLayout w:type="fixed"/>
      </w:tblPr>
      <w:tblGrid>
        <w:gridCol w:w="100"/>
        <w:gridCol w:w="100"/>
        <w:gridCol w:w="100"/>
      </w:tblGrid>
      <w:tr>
        <w:trPr>
          <w:cantSplit/>
          <w:tblHeader/>
        </w:trPr>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Categoría</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Archivos</w:t>
            </w:r>
          </w:p>
        </w:tc>
        <w:tc>
          <w:tcPr>
            <w:tcBorders>
              <w:top w:val="single" w:color="1B6B7A" w:sz="4"/>
              <w:left w:val="none"/>
              <w:bottom w:val="single" w:color="1B6B7A" w:sz="4"/>
              <w:right w:val="none"/>
            </w:tcBorders>
            <w:shd w:fill="1B6B7A" w:val="clear"/>
            <w:tcMar>
              <w:top w:type="dxa" w:w="60"/>
              <w:left w:type="dxa" w:w="120"/>
              <w:bottom w:type="dxa" w:w="60"/>
              <w:right w:type="dxa" w:w="120"/>
            </w:tcMar>
          </w:tcPr>
          <w:p>
            <w:r>
              <w:rPr>
                <w:rFonts w:ascii="Calibri" w:eastAsia="Microsoft YaHei"/>
                <w:b/>
                <w:bCs/>
                <w:color w:val="FFFFFF"/>
                <w:sz w:val="21"/>
                <w:szCs w:val="21"/>
              </w:rPr>
              <w:t xml:space="preserve">Total</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Prisma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schema.prisma</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1</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API Routes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47 ficheros route.ts bajo src/app/api/</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47</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Motor de Patrones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detector.ts, engine.ts, types.ts, validation.ts, copy.ts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5</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insights.ts, emotional-state.ts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2</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Life Memory</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stages.ts, observations.ts, copy.ts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3</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Silent Memories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shared.ts, silent-memory-state.ts, server/silent-memories.ts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3</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Monthly Closure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digest.ts, copy.ts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2</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Achievements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achievements.ts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1</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Notifications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service.ts, scheduler.ts, types.ts, templates.ts, push-client.ts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5</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Reminder Crons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checkin.ts, daily.ts, reflection.ts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3</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Widgets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snapshot.ts, shaping.ts, triggers.ts, types.ts, cache.ts, refresh.ts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6</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Cron Routes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5 ficheros route.ts bajo src/app/api/cron/</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5</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Helpers Core</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dates.ts, deterministic.ts, utils.ts, limits.ts, avatar.ts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5</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Hooks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useApi.ts, usePrivacy.ts, useEmpireTips.ts, useProgressiveDisclosure.ts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4</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Mentor Context</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mentor-context.ts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1</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Observability</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logger.ts, errors.ts, performance.ts, api-timing.ts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4</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Emails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types.ts, resend.ts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2</w:t>
            </w:r>
          </w:p>
        </w:tc>
      </w:tr>
      <w:tr>
        <w:trPr>
          <w:cantSplit/>
        </w:trPr>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Analytics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analytics.ts, analytics-server.ts</w:t>
            </w:r>
          </w:p>
        </w:tc>
        <w:tc>
          <w:tcPr>
            <w:tcBorders>
              <w:top w:val="none"/>
              <w:left w:val="none"/>
              <w:bottom w:val="none"/>
              <w:right w:val="none"/>
            </w:tcBorders>
            <w:shd w:fill="FFFFFF" w:val="clear"/>
            <w:tcMar>
              <w:top w:type="dxa" w:w="50"/>
              <w:left w:type="dxa" w:w="120"/>
              <w:bottom w:type="dxa" w:w="50"/>
              <w:right w:type="dxa" w:w="120"/>
            </w:tcMar>
          </w:tcPr>
          <w:p>
            <w:r>
              <w:rPr>
                <w:rFonts w:ascii="Calibri" w:eastAsia="Microsoft YaHei"/>
                <w:color w:val="1A2B40"/>
                <w:sz w:val="21"/>
                <w:szCs w:val="21"/>
              </w:rPr>
              <w:t xml:space="preserve">2</w:t>
            </w:r>
          </w:p>
        </w:tc>
      </w:tr>
      <w:tr>
        <w:trPr>
          <w:cantSplit/>
        </w:trPr>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Frontend Components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Todas las páginas bajo src/app/(dashboard)/ + src/components/</w:t>
            </w:r>
          </w:p>
        </w:tc>
        <w:tc>
          <w:tcPr>
            <w:tcBorders>
              <w:top w:val="none"/>
              <w:left w:val="none"/>
              <w:bottom w:val="none"/>
              <w:right w:val="none"/>
            </w:tcBorders>
            <w:shd w:fill="EDF3F5" w:val="clear"/>
            <w:tcMar>
              <w:top w:type="dxa" w:w="50"/>
              <w:left w:type="dxa" w:w="120"/>
              <w:bottom w:type="dxa" w:w="50"/>
              <w:right w:type="dxa" w:w="120"/>
            </w:tcMar>
          </w:tcPr>
          <w:p>
            <w:r>
              <w:rPr>
                <w:rFonts w:ascii="Calibri" w:eastAsia="Microsoft YaHei"/>
                <w:color w:val="1A2B40"/>
                <w:sz w:val="21"/>
                <w:szCs w:val="21"/>
              </w:rPr>
              <w:t xml:space="preserve">30+</w:t>
            </w:r>
          </w:p>
        </w:tc>
      </w:tr>
    </w:tbl>
    <w:p>
      <w:pPr>
        <w:spacing w:after="80" w:line="312"/>
        <w:jc w:val="both"/>
      </w:pPr>
      <w:r>
        <w:rPr>
          <w:rFonts w:ascii="Calibri" w:eastAsia="Microsoft YaHei"/>
          <w:color w:val="1A2B40"/>
          <w:sz w:val="24"/>
          <w:szCs w:val="24"/>
        </w:rPr>
        <w:t xml:space="preserve">Total: 130+ archivos auditados. Ninguna señal listada en este informe es hipotética: cada una puede rastrearse hasta un modelo Prisma, una consulta, un campo, una función y una línea de código específica.</w:t>
      </w:r>
    </w:p>
    <w:sectPr>
      <w:headerReference w:type="default" r:id="rId7"/>
      <w:footerReference w:type="default" r:id="rId8"/>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VitaZen — Auditoría Forense de Señales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line="312"/>
      <w:outlineLvl w:val="0"/>
    </w:pPr>
    <w:rPr>
      <w:rFonts w:ascii="Calibri" w:eastAsia="SimHei"/>
      <w:b/>
      <w:bCs/>
      <w:color w:val="0F172A"/>
      <w:sz w:val="32"/>
      <w:szCs w:val="32"/>
    </w:rPr>
  </w:style>
  <w:style w:type="paragraph" w:styleId="Heading2">
    <w:name w:val="Heading 2"/>
    <w:basedOn w:val="Normal"/>
    <w:next w:val="Normal"/>
    <w:qFormat/>
    <w:pPr>
      <w:spacing w:line="312"/>
      <w:outlineLvl w:val="1"/>
    </w:pPr>
    <w:rPr>
      <w:rFonts w:ascii="Calibri" w:eastAsia="SimHei"/>
      <w:b/>
      <w:bCs/>
      <w:color w:val="0F172A"/>
      <w:sz w:val="28"/>
      <w:szCs w:val="28"/>
    </w:rPr>
  </w:style>
  <w:style w:type="paragraph" w:styleId="Heading3">
    <w:name w:val="Heading 3"/>
    <w:basedOn w:val="Normal"/>
    <w:next w:val="Normal"/>
    <w:qFormat/>
    <w:pPr>
      <w:spacing w:line="312"/>
      <w:outlineLvl w:val="2"/>
    </w:pPr>
    <w:rPr>
      <w:rFonts w:ascii="Calibri" w:eastAsia="SimHei"/>
      <w:b/>
      <w:bCs/>
      <w:color w:val="5A608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2026-07-11T09:16:34.772Z</dcterms:created>
  <dcterms:modified xsi:type="dcterms:W3CDTF">2026-07-11T09:16:34.772Z</dcterms:modified>
</cp:coreProperties>
</file>

<file path=docProps/custom.xml><?xml version="1.0" encoding="utf-8"?>
<Properties xmlns="http://schemas.openxmlformats.org/officeDocument/2006/custom-properties" xmlns:vt="http://schemas.openxmlformats.org/officeDocument/2006/docPropsVTypes"/>
</file>