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ZQR GH226 body paragraph with a note</w:t>
      </w:r>
      <w:r>
        <w:footnoteReference w:id="2"/>
      </w:r>
      <w:r>
        <w:endnoteReference w:id="2"/>
      </w:r>
    </w:p>
    <w:sectPr>
      <w:pgSz w:w="11906" w:h="16838"/>
    </w:sectPr>
  </w:body>
</w:document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endnoteRef/>
      </w:r>
      <w:r>
        <w:t xml:space="preserve"> ZQR GH226 endnote paragraph one</w:t>
      </w:r>
    </w:p>
    <w:p>
      <w:r>
        <w:t>ZQR GH226 endnote paragraph two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 xml:space="preserve"> ZQR GH226 footnote paragraph one</w:t>
      </w:r>
    </w:p>
    <w:p>
      <w:r>
        <w:t>ZQR GH226 footnote paragraph two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