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88871" w14:textId="1C5CD099" w:rsidR="00885AC6" w:rsidRDefault="00423180">
      <w:r>
        <w:t>One of the most successful PR-ad campaign in my opinion is the Volvo’s Hamster Stunt ad campaign for its FMX-truck series.</w:t>
      </w:r>
    </w:p>
    <w:p w14:paraId="664513E5" w14:textId="4DB998D9" w:rsidR="00423180" w:rsidRDefault="00423180">
      <w:r>
        <w:t>Although</w:t>
      </w:r>
    </w:p>
    <w:sectPr w:rsidR="0042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B6"/>
    <w:rsid w:val="00423180"/>
    <w:rsid w:val="004625B6"/>
    <w:rsid w:val="00601689"/>
    <w:rsid w:val="00885AC6"/>
    <w:rsid w:val="00E5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4549"/>
  <w15:chartTrackingRefBased/>
  <w15:docId w15:val="{EB6E3E3A-1703-4D81-A30C-B522AE8A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Sony</dc:creator>
  <cp:keywords/>
  <dc:description/>
  <cp:lastModifiedBy>Joseph Sony</cp:lastModifiedBy>
  <cp:revision>2</cp:revision>
  <dcterms:created xsi:type="dcterms:W3CDTF">2025-10-01T03:32:00Z</dcterms:created>
  <dcterms:modified xsi:type="dcterms:W3CDTF">2025-10-01T03:38:00Z</dcterms:modified>
</cp:coreProperties>
</file>