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color w:val="595959"/>
          <w:sz w:val="24"/>
          <w:szCs w:val="24"/>
        </w:rPr>
        <w:t xml:space="preserve">PPOL 5206: Massive Data Fundamentals</w:t>
      </w:r>
    </w:p>
    <w:p>
      <w:pPr>
        <w:spacing w:before="0" w:after="80"/>
        <w:jc w:val="center"/>
      </w:pPr>
      <w:r>
        <w:rPr>
          <w:rFonts w:ascii="Arial" w:cs="Arial" w:eastAsia="Arial" w:hAnsi="Arial"/>
          <w:color w:val="595959"/>
          <w:sz w:val="22"/>
          <w:szCs w:val="22"/>
        </w:rPr>
        <w:t xml:space="preserve">Week 7 Lab</w:t>
      </w:r>
    </w:p>
    <w:p>
      <w:pPr>
        <w:pBdr>
          <w:bottom w:val="single" w:color="1F3864" w:sz="8" w:space="6"/>
        </w:pBdr>
        <w:spacing w:before="0" w:after="200"/>
        <w:jc w:val="center"/>
      </w:pPr>
      <w:r>
        <w:rPr>
          <w:rFonts w:ascii="Arial" w:cs="Arial" w:eastAsia="Arial" w:hAnsi="Arial"/>
          <w:b/>
          <w:bCs/>
          <w:color w:val="1F3864"/>
          <w:sz w:val="44"/>
          <w:szCs w:val="44"/>
        </w:rPr>
        <w:t xml:space="preserve">From Operational to Analytical — The Full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pPr>
              <w:spacing w:after="20"/>
            </w:pPr>
            <w:r>
              <w:rPr>
                <w:rFonts w:ascii="Arial" w:cs="Arial" w:eastAsia="Arial" w:hAnsi="Arial"/>
                <w:b/>
                <w:bCs/>
                <w:color w:val="1F3864"/>
                <w:sz w:val="20"/>
                <w:szCs w:val="20"/>
              </w:rPr>
              <w:t xml:space="preserve">Duration</w:t>
            </w:r>
          </w:p>
          <w:p>
            <w:pPr>
              <w:spacing w:after="0"/>
            </w:pPr>
            <w:r>
              <w:rPr>
                <w:rFonts w:ascii="Arial" w:cs="Arial" w:eastAsia="Arial" w:hAnsi="Arial"/>
                <w:color w:val="1A1A1A"/>
                <w:sz w:val="20"/>
                <w:szCs w:val="20"/>
              </w:rPr>
              <w:t xml:space="preserve">~75 minutes</w:t>
            </w:r>
          </w:p>
        </w:tc>
        <w:tc>
          <w:tcPr>
            <w:tcW w:type="dxa" w:w="312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pPr>
              <w:spacing w:after="20"/>
            </w:pPr>
            <w:r>
              <w:rPr>
                <w:rFonts w:ascii="Arial" w:cs="Arial" w:eastAsia="Arial" w:hAnsi="Arial"/>
                <w:b/>
                <w:bCs/>
                <w:color w:val="1F3864"/>
                <w:sz w:val="20"/>
                <w:szCs w:val="20"/>
              </w:rPr>
              <w:t xml:space="preserve">Prerequisites</w:t>
            </w:r>
          </w:p>
          <w:p>
            <w:pPr>
              <w:spacing w:after="0"/>
            </w:pPr>
            <w:r>
              <w:rPr>
                <w:rFonts w:ascii="Arial" w:cs="Arial" w:eastAsia="Arial" w:hAnsi="Arial"/>
                <w:color w:val="1A1A1A"/>
                <w:sz w:val="20"/>
                <w:szCs w:val="20"/>
              </w:rPr>
              <w:t xml:space="preserve">Week 6 lab complete — S3 bucket (ppol5206-[initials]-lab), ppol5206_lab Glue database, Athena configured, Week 5 Snowflake access</w:t>
            </w:r>
          </w:p>
        </w:tc>
        <w:tc>
          <w:tcPr>
            <w:tcW w:type="dxa" w:w="312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pPr>
              <w:spacing w:after="20"/>
            </w:pPr>
            <w:r>
              <w:rPr>
                <w:rFonts w:ascii="Arial" w:cs="Arial" w:eastAsia="Arial" w:hAnsi="Arial"/>
                <w:b/>
                <w:bCs/>
                <w:color w:val="1F3864"/>
                <w:sz w:val="20"/>
                <w:szCs w:val="20"/>
              </w:rPr>
              <w:t xml:space="preserve">Deliverable</w:t>
            </w:r>
          </w:p>
          <w:p>
            <w:pPr>
              <w:spacing w:after="0"/>
            </w:pPr>
            <w:r>
              <w:rPr>
                <w:rFonts w:ascii="Arial" w:cs="Arial" w:eastAsia="Arial" w:hAnsi="Arial"/>
                <w:color w:val="1A1A1A"/>
                <w:sz w:val="20"/>
                <w:szCs w:val="20"/>
              </w:rPr>
              <w:t xml:space="preserve">Reflection document — one paragraph per exercise plus a final synthesis response</w:t>
            </w:r>
          </w:p>
        </w:tc>
      </w:tr>
    </w:tbl>
    <w:p>
      <w:pPr>
        <w:spacing w:after="200"/>
      </w:pPr>
      <w:r>
        <w:t xml:space="preserve"/>
      </w:r>
    </w:p>
    <w:p>
      <w:pPr>
        <w:spacing w:after="120"/>
      </w:pPr>
      <w:r>
        <w:rPr>
          <w:rFonts w:ascii="Arial" w:cs="Arial" w:eastAsia="Arial" w:hAnsi="Arial"/>
          <w:b w:val="false"/>
          <w:bCs w:val="false"/>
          <w:i w:val="false"/>
          <w:iCs w:val="false"/>
          <w:color w:val="1A1A1A"/>
          <w:sz w:val="22"/>
          <w:szCs w:val="22"/>
        </w:rPr>
        <w:t xml:space="preserve">This lab builds directly on your Week 6 infrastructure. The S3 bucket (ppol5206-[initials]-lab), the Glue database (ppol5206_lab), and the grant application data you cataloged are all still in place. This week you will point new services — RDS, Redshift Serverless, and Lake Formation — at that same data, using the same SQL skills, to demonstrate that architecture choices are what change, not the analyst's toolkit.</w:t>
      </w:r>
    </w:p>
    <w:p>
      <w:pPr>
        <w:spacing w:after="240"/>
      </w:pPr>
      <w:r>
        <w:t xml:space="preserve"/>
      </w:r>
    </w:p>
    <w:p>
      <w:pPr>
        <w:pStyle w:val="Heading1"/>
        <w:pBdr>
          <w:bottom w:val="single" w:color="2E5FA3" w:sz="6" w:space="4"/>
        </w:pBdr>
        <w:spacing w:before="360" w:after="160"/>
      </w:pPr>
      <w:r>
        <w:rPr>
          <w:rFonts w:ascii="Arial" w:cs="Arial" w:eastAsia="Arial" w:hAnsi="Arial"/>
          <w:b/>
          <w:bCs/>
          <w:color w:val="1F3864"/>
          <w:sz w:val="32"/>
          <w:szCs w:val="32"/>
        </w:rPr>
        <w:t xml:space="preserve">Instructor Pre-Provisioning</w:t>
      </w:r>
    </w:p>
    <w:p>
      <w:pPr>
        <w:spacing w:after="120"/>
      </w:pPr>
      <w:r>
        <w:rPr>
          <w:rFonts w:ascii="Arial" w:cs="Arial" w:eastAsia="Arial" w:hAnsi="Arial"/>
          <w:b w:val="false"/>
          <w:bCs w:val="false"/>
          <w:i w:val="false"/>
          <w:iCs w:val="false"/>
          <w:color w:val="1A1A1A"/>
          <w:sz w:val="22"/>
          <w:szCs w:val="22"/>
        </w:rPr>
        <w:t xml:space="preserve">Complete all steps below before students arrive. RDS creation takes 10–15 minutes. The Lake Formation step has an IAM dependency that must be staged carefully.</w:t>
      </w:r>
    </w:p>
    <w:p>
      <w:pPr>
        <w:spacing w:after="160"/>
      </w:pPr>
      <w:r>
        <w:t xml:space="preserve"/>
      </w:r>
    </w:p>
    <w:p>
      <w:pPr>
        <w:pStyle w:val="Heading2"/>
        <w:spacing w:before="280" w:after="120"/>
      </w:pPr>
      <w:r>
        <w:rPr>
          <w:rFonts w:ascii="Arial" w:cs="Arial" w:eastAsia="Arial" w:hAnsi="Arial"/>
          <w:b/>
          <w:bCs/>
          <w:color w:val="2E5FA3"/>
          <w:sz w:val="26"/>
          <w:szCs w:val="26"/>
        </w:rPr>
        <w:t xml:space="preserve">IAM Foundation</w:t>
      </w:r>
    </w:p>
    <w:p>
      <w:pPr>
        <w:spacing w:after="120"/>
      </w:pPr>
      <w:r>
        <w:rPr>
          <w:rFonts w:ascii="Arial" w:cs="Arial" w:eastAsia="Arial" w:hAnsi="Arial"/>
          <w:b w:val="false"/>
          <w:bCs w:val="false"/>
          <w:i w:val="false"/>
          <w:iCs w:val="false"/>
          <w:color w:val="1A1A1A"/>
          <w:sz w:val="22"/>
          <w:szCs w:val="22"/>
        </w:rPr>
        <w:t xml:space="preserve">You need two IAM roles: the student role from Week 6, and a new restricted role for the Lake Formation exercise.</w:t>
      </w:r>
    </w:p>
    <w:p>
      <w:pPr>
        <w:spacing w:after="160"/>
      </w:pPr>
      <w:r>
        <w:t xml:space="preserve"/>
      </w:r>
    </w:p>
    <w:p>
      <w:pPr>
        <w:pStyle w:val="Heading3"/>
        <w:spacing w:before="200" w:after="100"/>
      </w:pPr>
      <w:r>
        <w:rPr>
          <w:rFonts w:ascii="Arial" w:cs="Arial" w:eastAsia="Arial" w:hAnsi="Arial"/>
          <w:b/>
          <w:bCs/>
          <w:color w:val="1F3864"/>
          <w:sz w:val="22"/>
          <w:szCs w:val="22"/>
        </w:rPr>
        <w:t xml:space="preserve">Student Role — Additional Policies Required</w:t>
      </w:r>
    </w:p>
    <w:p>
      <w:pPr>
        <w:spacing w:after="120"/>
      </w:pPr>
      <w:r>
        <w:rPr>
          <w:rFonts w:ascii="Arial" w:cs="Arial" w:eastAsia="Arial" w:hAnsi="Arial"/>
          <w:b w:val="false"/>
          <w:bCs w:val="false"/>
          <w:i w:val="false"/>
          <w:iCs w:val="false"/>
          <w:color w:val="1A1A1A"/>
          <w:sz w:val="22"/>
          <w:szCs w:val="22"/>
        </w:rPr>
        <w:t xml:space="preserve">Attach these managed policies to the existing student role (the same role used in the Week 6 lab):</w:t>
      </w:r>
    </w:p>
    <w:p>
      <w:pPr>
        <w:pStyle w:val="ListParagraph"/>
        <w:numPr>
          <w:ilvl w:val="0"/>
          <w:numId w:val="2"/>
        </w:numPr>
        <w:spacing w:after="80"/>
      </w:pPr>
      <w:r>
        <w:rPr>
          <w:rFonts w:ascii="Arial" w:cs="Arial" w:eastAsia="Arial" w:hAnsi="Arial"/>
          <w:b w:val="false"/>
          <w:bCs w:val="false"/>
          <w:sz w:val="22"/>
          <w:szCs w:val="22"/>
        </w:rPr>
        <w:t xml:space="preserve">AmazonRedshiftFullAccess</w:t>
      </w:r>
    </w:p>
    <w:p>
      <w:pPr>
        <w:pStyle w:val="ListParagraph"/>
        <w:numPr>
          <w:ilvl w:val="0"/>
          <w:numId w:val="2"/>
        </w:numPr>
        <w:spacing w:after="80"/>
      </w:pPr>
      <w:r>
        <w:rPr>
          <w:rFonts w:ascii="Arial" w:cs="Arial" w:eastAsia="Arial" w:hAnsi="Arial"/>
          <w:b w:val="false"/>
          <w:bCs w:val="false"/>
          <w:sz w:val="22"/>
          <w:szCs w:val="22"/>
        </w:rPr>
        <w:t xml:space="preserve">AmazonRDSReadOnlyAccess</w:t>
      </w:r>
    </w:p>
    <w:p>
      <w:pPr>
        <w:pStyle w:val="ListParagraph"/>
        <w:numPr>
          <w:ilvl w:val="0"/>
          <w:numId w:val="2"/>
        </w:numPr>
        <w:spacing w:after="80"/>
      </w:pPr>
      <w:r>
        <w:rPr>
          <w:rFonts w:ascii="Arial" w:cs="Arial" w:eastAsia="Arial" w:hAnsi="Arial"/>
          <w:b w:val="false"/>
          <w:bCs w:val="false"/>
          <w:sz w:val="22"/>
          <w:szCs w:val="22"/>
        </w:rPr>
        <w:t xml:space="preserve">AWSLakeFormationDataAdmin</w:t>
      </w:r>
    </w:p>
    <w:p>
      <w:pPr>
        <w:pStyle w:val="ListParagraph"/>
        <w:numPr>
          <w:ilvl w:val="0"/>
          <w:numId w:val="2"/>
        </w:numPr>
        <w:spacing w:after="80"/>
      </w:pPr>
      <w:r>
        <w:rPr>
          <w:rFonts w:ascii="Arial" w:cs="Arial" w:eastAsia="Arial" w:hAnsi="Arial"/>
          <w:b w:val="false"/>
          <w:bCs w:val="false"/>
          <w:sz w:val="22"/>
          <w:szCs w:val="22"/>
        </w:rPr>
        <w:t xml:space="preserve">IAMReadOnlyAccess</w:t>
      </w:r>
    </w:p>
    <w:p>
      <w:pPr>
        <w:spacing w:after="120"/>
      </w:pPr>
      <w:r>
        <w:rPr>
          <w:rFonts w:ascii="Arial" w:cs="Arial" w:eastAsia="Arial" w:hAnsi="Arial"/>
          <w:b w:val="false"/>
          <w:bCs w:val="false"/>
          <w:i/>
          <w:iCs/>
          <w:color w:val="1A1A1A"/>
          <w:sz w:val="22"/>
          <w:szCs w:val="22"/>
        </w:rPr>
        <w:t xml:space="preserve">The S3, Glue, and Athena policies attached during Week 6 should already be in place. Verify before adding duplicates.</w:t>
      </w:r>
    </w:p>
    <w:p>
      <w:pPr>
        <w:spacing w:after="160"/>
      </w:pPr>
      <w:r>
        <w:t xml:space="preserve"/>
      </w:r>
    </w:p>
    <w:p>
      <w:pPr>
        <w:pStyle w:val="Heading3"/>
        <w:spacing w:before="200" w:after="100"/>
      </w:pPr>
      <w:r>
        <w:rPr>
          <w:rFonts w:ascii="Arial" w:cs="Arial" w:eastAsia="Arial" w:hAnsi="Arial"/>
          <w:b/>
          <w:bCs/>
          <w:color w:val="1F3864"/>
          <w:sz w:val="22"/>
          <w:szCs w:val="22"/>
        </w:rPr>
        <w:t xml:space="preserve">Restricted Analyst Role — Create New</w:t>
      </w:r>
    </w:p>
    <w:p>
      <w:pPr>
        <w:spacing w:after="120"/>
      </w:pPr>
      <w:r>
        <w:rPr>
          <w:rFonts w:ascii="Arial" w:cs="Arial" w:eastAsia="Arial" w:hAnsi="Arial"/>
          <w:b w:val="false"/>
          <w:bCs w:val="false"/>
          <w:i w:val="false"/>
          <w:iCs w:val="false"/>
          <w:color w:val="1A1A1A"/>
          <w:sz w:val="22"/>
          <w:szCs w:val="22"/>
        </w:rPr>
        <w:t xml:space="preserve">Create a new IAM role called ppol5206-restricted-analyst with this trust policy, allowing the student role to assume it:</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"Version": "2012-10-17",</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"Statement":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"Effect": "Allow",</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"Principal":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"AWS": "arn:aws:iam::YOUR_ACCOUNT_ID:role/ppol5206-student-role"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"Action": "sts:AssumeRole"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Attach AmazonAthenaFullAccess and AmazonS3ReadOnlyAccess only. Do not grant Lake Formation admin — this role sees only what LF explicitly grants.</w:t>
      </w:r>
    </w:p>
    <w:p>
      <w:pPr>
        <w:spacing w:after="160"/>
      </w:pPr>
      <w:r>
        <w:t xml:space="preserve"/>
      </w:r>
    </w:p>
    <w:p>
      <w:pPr>
        <w:spacing w:after="120"/>
      </w:pPr>
      <w:r>
        <w:rPr>
          <w:rFonts w:ascii="Arial" w:cs="Arial" w:eastAsia="Arial" w:hAnsi="Arial"/>
          <w:b w:val="false"/>
          <w:bCs w:val="false"/>
          <w:i w:val="false"/>
          <w:iCs w:val="false"/>
          <w:color w:val="1A1A1A"/>
          <w:sz w:val="22"/>
          <w:szCs w:val="22"/>
        </w:rPr>
        <w:t xml:space="preserve">Also add this inline policy to the student role so it can assume the restricted role:</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"Version": "2012-10-17",</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"Statement":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"Effect": "Allow",</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"Action": "sts:AssumeRole",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"Resource": "arn:aws:iam::YOUR_ACCOUNT_ID:role/ppol5206-restricted-analyst"</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w:t>
            </w:r>
          </w:p>
        </w:tc>
      </w:tr>
    </w:tbl>
    <w:p>
      <w:pPr>
        <w:spacing w:after="160"/>
      </w:pPr>
      <w:r>
        <w:t xml:space="preserve"/>
      </w:r>
    </w:p>
    <w:p>
      <w:pPr>
        <w:pStyle w:val="Heading2"/>
        <w:spacing w:before="280" w:after="120"/>
      </w:pPr>
      <w:r>
        <w:rPr>
          <w:rFonts w:ascii="Arial" w:cs="Arial" w:eastAsia="Arial" w:hAnsi="Arial"/>
          <w:b/>
          <w:bCs/>
          <w:color w:val="2E5FA3"/>
          <w:sz w:val="26"/>
          <w:szCs w:val="26"/>
        </w:rPr>
        <w:t xml:space="preserve">Pre-Provision RDS PostgreSQL</w:t>
      </w:r>
    </w:p>
    <w:p>
      <w:pPr>
        <w:spacing w:after="120"/>
      </w:pPr>
      <w:r>
        <w:rPr>
          <w:rFonts w:ascii="Arial" w:cs="Arial" w:eastAsia="Arial" w:hAnsi="Arial"/>
          <w:b w:val="false"/>
          <w:bCs w:val="false"/>
          <w:i w:val="false"/>
          <w:iCs w:val="false"/>
          <w:color w:val="1A1A1A"/>
          <w:sz w:val="22"/>
          <w:szCs w:val="22"/>
        </w:rPr>
        <w:t xml:space="preserve">Go to RDS → Create database and configure as follows:</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Setting</w:t>
            </w:r>
          </w:p>
        </w:tc>
        <w:tc>
          <w:tcPr>
            <w:tcW w:type="dxa" w:w="6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Engine</w:t>
            </w:r>
          </w:p>
        </w:tc>
        <w:tc>
          <w:tcPr>
            <w:tcW w:type="dxa" w:w="63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color w:val="1A1A1A"/>
                <w:sz w:val="20"/>
                <w:szCs w:val="20"/>
              </w:rPr>
              <w:t xml:space="preserve">PostgreSQL 15.x (latest minor version)</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Template</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Free tier or Dev/Test</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DB identifier</w:t>
            </w:r>
          </w:p>
        </w:tc>
        <w:tc>
          <w:tcPr>
            <w:tcW w:type="dxa" w:w="63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color w:val="1A1A1A"/>
                <w:sz w:val="20"/>
                <w:szCs w:val="20"/>
              </w:rPr>
              <w:t xml:space="preserve">ppol5206-transactional</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Master username</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ppol_admin</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Master password</w:t>
            </w:r>
          </w:p>
        </w:tc>
        <w:tc>
          <w:tcPr>
            <w:tcW w:type="dxa" w:w="63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color w:val="1A1A1A"/>
                <w:sz w:val="20"/>
                <w:szCs w:val="20"/>
              </w:rPr>
              <w:t xml:space="preserve">DataPolicy2026! (share with students)</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Instance class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db.t3.micro</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Storage</w:t>
            </w:r>
          </w:p>
        </w:tc>
        <w:tc>
          <w:tcPr>
            <w:tcW w:type="dxa" w:w="63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color w:val="1A1A1A"/>
                <w:sz w:val="20"/>
                <w:szCs w:val="20"/>
              </w:rPr>
              <w:t xml:space="preserve">20 GB gp2, disable autoscaling</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VPC</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Default VPC</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Public access</w:t>
            </w:r>
          </w:p>
        </w:tc>
        <w:tc>
          <w:tcPr>
            <w:tcW w:type="dxa" w:w="63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required for CloudShell access</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Security group</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Create new: ppol5206-rds-sg (allow port 5432 from 0.0.0.0/0)</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Database name</w:t>
            </w:r>
          </w:p>
        </w:tc>
        <w:tc>
          <w:tcPr>
            <w:tcW w:type="dxa" w:w="63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color w:val="1A1A1A"/>
                <w:sz w:val="20"/>
                <w:szCs w:val="20"/>
              </w:rPr>
              <w:t xml:space="preserve">ppol5206 (under Additional Configuration)</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Automated backups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Disable</w:t>
            </w:r>
          </w:p>
        </w:tc>
      </w:tr>
    </w:tbl>
    <w:p>
      <w:pPr>
        <w:spacing w:after="160"/>
      </w:pPr>
      <w:r>
        <w:t xml:space="preserve"/>
      </w:r>
    </w:p>
    <w:tbl>
      <w:tblPr>
        <w:tblW w:type="dxa" w:w="9360"/>
        <w:tblBorders>
          <w:top w:val="single" w:color="2E5FA3" w:sz="1"/>
          <w:left w:val="single" w:color="2E5FA3" w:sz="1"/>
          <w:bottom w:val="single" w:color="2E5FA3" w:sz="1"/>
          <w:right w:val="single" w:color="2E5FA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pPr>
              <w:spacing w:after="60"/>
            </w:pPr>
            <w:r>
              <w:rPr>
                <w:rFonts w:ascii="Arial" w:cs="Arial" w:eastAsia="Arial" w:hAnsi="Arial"/>
                <w:b/>
                <w:bCs/>
                <w:color w:val="2E5FA3"/>
                <w:sz w:val="20"/>
                <w:szCs w:val="20"/>
              </w:rPr>
              <w:t xml:space="preserve">ℹ NOTE</w:t>
            </w:r>
          </w:p>
          <w:p>
            <w:pPr>
              <w:spacing w:after="0"/>
            </w:pPr>
            <w:r>
              <w:rPr>
                <w:rFonts w:ascii="Arial" w:cs="Arial" w:eastAsia="Arial" w:hAnsi="Arial"/>
                <w:color w:val="1A1A1A"/>
                <w:sz w:val="20"/>
                <w:szCs w:val="20"/>
              </w:rPr>
              <w:t xml:space="preserve">Tell students you are opening port 5432 to the world intentionally and why you would never do this in a production environment. The contrast between lab convenience and production security hygiene is itself a teaching moment.</w:t>
            </w:r>
          </w:p>
        </w:tc>
      </w:tr>
    </w:tbl>
    <w:p>
      <w:pPr>
        <w:spacing w:after="160"/>
      </w:pPr>
      <w:r>
        <w:t xml:space="preserve"/>
      </w:r>
    </w:p>
    <w:p>
      <w:pPr>
        <w:pStyle w:val="Heading3"/>
        <w:spacing w:before="200" w:after="100"/>
      </w:pPr>
      <w:r>
        <w:rPr>
          <w:rFonts w:ascii="Arial" w:cs="Arial" w:eastAsia="Arial" w:hAnsi="Arial"/>
          <w:b/>
          <w:bCs/>
          <w:color w:val="1F3864"/>
          <w:sz w:val="22"/>
          <w:szCs w:val="22"/>
        </w:rPr>
        <w:t xml:space="preserve">Load Whiskers &amp; Waffles Cat Cafe Database into RDS</w:t>
      </w:r>
    </w:p>
    <w:p>
      <w:pPr>
        <w:spacing w:after="120"/>
      </w:pPr>
      <w:r>
        <w:rPr>
          <w:rFonts w:ascii="Arial" w:cs="Arial" w:eastAsia="Arial" w:hAnsi="Arial"/>
          <w:b w:val="false"/>
          <w:bCs w:val="false"/>
          <w:i w:val="false"/>
          <w:iCs w:val="false"/>
          <w:color w:val="1A1A1A"/>
          <w:sz w:val="22"/>
          <w:szCs w:val="22"/>
        </w:rPr>
        <w:t xml:space="preserve">Connect via CloudShell:</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psql -h YOUR_RDS_ENDPOINT.rds.amazonaws.com -U ppol_admin -d ppol5206 -W</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Download whiskers_waffles_database.sql from the course materials to CloudShell, then run it against the RDS instance. This loads a 12-table normalized database (the same one students used in Weeks 3–5 for SQL fundamentals):</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In CloudShell, download the SQL file: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aws s3 cp s3://ppol5206-[initials]-lab/whiskers_waffles_database.sql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Then run it in psql (after connecting per the command above):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\i whiskers_waffles_database.sql</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Creates 12 tables: membership_tiers, breeds, cats, customers,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staff, visits, orders, interactions, and more.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Upload whiskers_waffles_database.sql to your S3 bucket before class so students do not need the file locally. Place it at the bucket root (not inside raw/).</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Verify the database loaded correctly:</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table_name FROM information_schema.tables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WHERE table_schema = 'public' ORDER BY table_name;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You should see 12 tables: breeds, cats, customers, interactions,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interaction_types, membership_tiers, menu_items, order_items,</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Verify data is present:</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COUNT(*) AS total_cats FROM cats;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COUNT(*) AS total_visits FROM visits;  -- Should be 106</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COUNT(*) AS total_customers FROM customers;  -- Should be 19</w:t>
            </w:r>
          </w:p>
        </w:tc>
      </w:tr>
    </w:tbl>
    <w:p>
      <w:pPr>
        <w:spacing w:after="160"/>
      </w:pPr>
      <w:r>
        <w:t xml:space="preserve"/>
      </w:r>
    </w:p>
    <w:p>
      <w:pPr>
        <w:pStyle w:val="Heading2"/>
        <w:spacing w:before="280" w:after="120"/>
      </w:pPr>
      <w:r>
        <w:rPr>
          <w:rFonts w:ascii="Arial" w:cs="Arial" w:eastAsia="Arial" w:hAnsi="Arial"/>
          <w:b/>
          <w:bCs/>
          <w:color w:val="2E5FA3"/>
          <w:sz w:val="26"/>
          <w:szCs w:val="26"/>
        </w:rPr>
        <w:t xml:space="preserve">Pre-Stage Redshift Serverless</w:t>
      </w:r>
    </w:p>
    <w:p>
      <w:pPr>
        <w:pStyle w:val="ListParagraph"/>
        <w:numPr>
          <w:ilvl w:val="0"/>
          <w:numId w:val="2"/>
        </w:numPr>
        <w:spacing w:after="80"/>
      </w:pPr>
      <w:r>
        <w:rPr>
          <w:rFonts w:ascii="Arial" w:cs="Arial" w:eastAsia="Arial" w:hAnsi="Arial"/>
          <w:b w:val="false"/>
          <w:bCs w:val="false"/>
          <w:sz w:val="22"/>
          <w:szCs w:val="22"/>
        </w:rPr>
        <w:t xml:space="preserve">Go to Amazon Redshift → Serverless</w:t>
      </w:r>
    </w:p>
    <w:p>
      <w:pPr>
        <w:pStyle w:val="ListParagraph"/>
        <w:numPr>
          <w:ilvl w:val="0"/>
          <w:numId w:val="2"/>
        </w:numPr>
        <w:spacing w:after="80"/>
      </w:pPr>
      <w:r>
        <w:rPr>
          <w:rFonts w:ascii="Arial" w:cs="Arial" w:eastAsia="Arial" w:hAnsi="Arial"/>
          <w:b w:val="false"/>
          <w:bCs w:val="false"/>
          <w:sz w:val="22"/>
          <w:szCs w:val="22"/>
        </w:rPr>
        <w:t xml:space="preserve">Workgroup name: ppol5206-analytics</w:t>
      </w:r>
    </w:p>
    <w:p>
      <w:pPr>
        <w:pStyle w:val="ListParagraph"/>
        <w:numPr>
          <w:ilvl w:val="0"/>
          <w:numId w:val="2"/>
        </w:numPr>
        <w:spacing w:after="80"/>
      </w:pPr>
      <w:r>
        <w:rPr>
          <w:rFonts w:ascii="Arial" w:cs="Arial" w:eastAsia="Arial" w:hAnsi="Arial"/>
          <w:b w:val="false"/>
          <w:bCs w:val="false"/>
          <w:sz w:val="22"/>
          <w:szCs w:val="22"/>
        </w:rPr>
        <w:t xml:space="preserve">Namespace: ppol5206-ns</w:t>
      </w:r>
    </w:p>
    <w:p>
      <w:pPr>
        <w:pStyle w:val="ListParagraph"/>
        <w:numPr>
          <w:ilvl w:val="0"/>
          <w:numId w:val="2"/>
        </w:numPr>
        <w:spacing w:after="80"/>
      </w:pPr>
      <w:r>
        <w:rPr>
          <w:rFonts w:ascii="Arial" w:cs="Arial" w:eastAsia="Arial" w:hAnsi="Arial"/>
          <w:b w:val="false"/>
          <w:bCs w:val="false"/>
          <w:sz w:val="22"/>
          <w:szCs w:val="22"/>
        </w:rPr>
        <w:t xml:space="preserve">Base RPU capacity: 8 (minimum — do not go lower)</w:t>
      </w:r>
    </w:p>
    <w:p>
      <w:pPr>
        <w:pStyle w:val="ListParagraph"/>
        <w:numPr>
          <w:ilvl w:val="0"/>
          <w:numId w:val="2"/>
        </w:numPr>
        <w:spacing w:after="80"/>
      </w:pPr>
      <w:r>
        <w:rPr>
          <w:rFonts w:ascii="Arial" w:cs="Arial" w:eastAsia="Arial" w:hAnsi="Arial"/>
          <w:b w:val="false"/>
          <w:bCs w:val="false"/>
          <w:sz w:val="22"/>
          <w:szCs w:val="22"/>
        </w:rPr>
        <w:t xml:space="preserve">VPC: Default, check all subnets</w:t>
      </w:r>
    </w:p>
    <w:p>
      <w:pPr>
        <w:pStyle w:val="ListParagraph"/>
        <w:numPr>
          <w:ilvl w:val="0"/>
          <w:numId w:val="2"/>
        </w:numPr>
        <w:spacing w:after="80"/>
      </w:pPr>
      <w:r>
        <w:rPr>
          <w:rFonts w:ascii="Arial" w:cs="Arial" w:eastAsia="Arial" w:hAnsi="Arial"/>
          <w:b w:val="false"/>
          <w:bCs w:val="false"/>
          <w:sz w:val="22"/>
          <w:szCs w:val="22"/>
        </w:rPr>
        <w:t xml:space="preserve">Security group: create ppol5206-redshift-sg, allow inbound port 5439 from 0.0.0.0/0</w:t>
      </w:r>
    </w:p>
    <w:p>
      <w:pPr>
        <w:pStyle w:val="ListParagraph"/>
        <w:numPr>
          <w:ilvl w:val="0"/>
          <w:numId w:val="2"/>
        </w:numPr>
        <w:spacing w:after="80"/>
      </w:pPr>
      <w:r>
        <w:rPr>
          <w:rFonts w:ascii="Arial" w:cs="Arial" w:eastAsia="Arial" w:hAnsi="Arial"/>
          <w:b w:val="false"/>
          <w:bCs w:val="false"/>
          <w:sz w:val="22"/>
          <w:szCs w:val="22"/>
        </w:rPr>
        <w:t xml:space="preserve">Attach an IAM role with AmazonRedshiftAllCommandsFullAccess and AWSGlueConsoleFullAccess</w:t>
      </w:r>
    </w:p>
    <w:p>
      <w:pPr>
        <w:spacing w:after="160"/>
      </w:pPr>
      <w:r>
        <w:t xml:space="preserve"/>
      </w:r>
    </w:p>
    <w:p>
      <w:pPr>
        <w:spacing w:after="120"/>
      </w:pPr>
      <w:r>
        <w:rPr>
          <w:rFonts w:ascii="Arial" w:cs="Arial" w:eastAsia="Arial" w:hAnsi="Arial"/>
          <w:b w:val="false"/>
          <w:bCs w:val="false"/>
          <w:i w:val="false"/>
          <w:iCs w:val="false"/>
          <w:color w:val="1A1A1A"/>
          <w:sz w:val="22"/>
          <w:szCs w:val="22"/>
        </w:rPr>
        <w:t xml:space="preserve">After the workgroup is active, open Redshift Query Editor v2 and run:</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CREATE EXTERNAL SCHEMA IF NOT EXISTS glue_data</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FROM DATA CATALOG</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DATABASE 'ppol5206_lab'</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IAM_ROLE 'arn:aws:iam::YOUR_ACCOUNT_ID:role/your-redshift-role'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REGION 'us-east-1';</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Test before class:</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COUNT(*) FROM glue_data.grants;</w:t>
            </w:r>
          </w:p>
        </w:tc>
      </w:tr>
    </w:tbl>
    <w:p>
      <w:pPr>
        <w:spacing w:after="160"/>
      </w:pPr>
      <w:r>
        <w:t xml:space="preserve"/>
      </w:r>
    </w:p>
    <w:tbl>
      <w:tblPr>
        <w:tblW w:type="dxa" w:w="9360"/>
        <w:tblBorders>
          <w:top w:val="single" w:color="BF8F00" w:sz="1"/>
          <w:left w:val="single" w:color="BF8F00" w:sz="1"/>
          <w:bottom w:val="single" w:color="BF8F00" w:sz="1"/>
          <w:right w:val="single" w:color="BF8F0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pPr>
              <w:spacing w:after="60"/>
            </w:pPr>
            <w:r>
              <w:rPr>
                <w:rFonts w:ascii="Arial" w:cs="Arial" w:eastAsia="Arial" w:hAnsi="Arial"/>
                <w:b/>
                <w:bCs/>
                <w:color w:val="BF8F00"/>
                <w:sz w:val="20"/>
                <w:szCs w:val="20"/>
              </w:rPr>
              <w:t xml:space="preserve">⚠ WARNING</w:t>
            </w:r>
          </w:p>
          <w:p>
            <w:pPr>
              <w:spacing w:after="0"/>
            </w:pPr>
            <w:r>
              <w:rPr>
                <w:rFonts w:ascii="Arial" w:cs="Arial" w:eastAsia="Arial" w:hAnsi="Arial"/>
                <w:color w:val="1A1A1A"/>
                <w:sz w:val="20"/>
                <w:szCs w:val="20"/>
              </w:rPr>
              <w:t xml:space="preserve">If this fails, verify the Redshift IAM role has Glue GetDatabase + GetTable permissions on the ppol5206_lab database specifically. The most common error is the role lacking glue:GetTable permission.</w:t>
            </w:r>
          </w:p>
        </w:tc>
      </w:tr>
    </w:tbl>
    <w:p>
      <w:pPr>
        <w:spacing w:after="160"/>
      </w:pPr>
      <w:r>
        <w:t xml:space="preserve"/>
      </w:r>
    </w:p>
    <w:p>
      <w:pPr>
        <w:pStyle w:val="Heading2"/>
        <w:spacing w:before="280" w:after="120"/>
      </w:pPr>
      <w:r>
        <w:rPr>
          <w:rFonts w:ascii="Arial" w:cs="Arial" w:eastAsia="Arial" w:hAnsi="Arial"/>
          <w:b/>
          <w:bCs/>
          <w:color w:val="2E5FA3"/>
          <w:sz w:val="26"/>
          <w:szCs w:val="26"/>
        </w:rPr>
        <w:t xml:space="preserve">Lake Formation Setup</w:t>
      </w:r>
    </w:p>
    <w:p>
      <w:pPr>
        <w:pStyle w:val="ListParagraph"/>
        <w:numPr>
          <w:ilvl w:val="0"/>
          <w:numId w:val="3"/>
        </w:numPr>
        <w:spacing w:after="100"/>
      </w:pPr>
      <w:r>
        <w:rPr>
          <w:rFonts w:ascii="Arial" w:cs="Arial" w:eastAsia="Arial" w:hAnsi="Arial"/>
          <w:sz w:val="22"/>
          <w:szCs w:val="22"/>
        </w:rPr>
        <w:t xml:space="preserve">Go to Lake Formation. On first use, you will be prompted to set up an admin.</w:t>
      </w:r>
    </w:p>
    <w:p>
      <w:pPr>
        <w:pStyle w:val="ListParagraph"/>
        <w:numPr>
          <w:ilvl w:val="0"/>
          <w:numId w:val="3"/>
        </w:numPr>
        <w:spacing w:after="100"/>
      </w:pPr>
      <w:r>
        <w:rPr>
          <w:rFonts w:ascii="Arial" w:cs="Arial" w:eastAsia="Arial" w:hAnsi="Arial"/>
          <w:sz w:val="22"/>
          <w:szCs w:val="22"/>
        </w:rPr>
        <w:t xml:space="preserve">Register the S3 data lake location: Data lake locations → Register location → s3://ppol5206-[initials]-lab/raw/</w:t>
      </w:r>
    </w:p>
    <w:p>
      <w:pPr>
        <w:pStyle w:val="ListParagraph"/>
        <w:numPr>
          <w:ilvl w:val="0"/>
          <w:numId w:val="3"/>
        </w:numPr>
        <w:spacing w:after="100"/>
      </w:pPr>
      <w:r>
        <w:rPr>
          <w:rFonts w:ascii="Arial" w:cs="Arial" w:eastAsia="Arial" w:hAnsi="Arial"/>
          <w:sz w:val="22"/>
          <w:szCs w:val="22"/>
        </w:rPr>
        <w:t xml:space="preserve">Under Administrative roles and tasks, add the student IAM role as a data lake administrator.</w:t>
      </w:r>
    </w:p>
    <w:p>
      <w:pPr>
        <w:pStyle w:val="ListParagraph"/>
        <w:numPr>
          <w:ilvl w:val="0"/>
          <w:numId w:val="3"/>
        </w:numPr>
        <w:spacing w:after="100"/>
      </w:pPr>
      <w:r>
        <w:rPr>
          <w:rFonts w:ascii="Arial" w:cs="Arial" w:eastAsia="Arial" w:hAnsi="Arial"/>
          <w:sz w:val="22"/>
          <w:szCs w:val="22"/>
        </w:rPr>
        <w:t xml:space="preserve">In Settings, check 'Use only Lake Formation permissions.' This makes LF the single authoritative source — without it, IAM and LF policies coexist and create confusing behavior.</w:t>
      </w:r>
    </w:p>
    <w:p>
      <w:pPr>
        <w:pStyle w:val="ListParagraph"/>
        <w:numPr>
          <w:ilvl w:val="0"/>
          <w:numId w:val="3"/>
        </w:numPr>
        <w:spacing w:after="100"/>
      </w:pPr>
      <w:r>
        <w:rPr>
          <w:rFonts w:ascii="Arial" w:cs="Arial" w:eastAsia="Arial" w:hAnsi="Arial"/>
          <w:sz w:val="22"/>
          <w:szCs w:val="22"/>
        </w:rPr>
        <w:t xml:space="preserve">Pre-grant full SELECT on the grants table to the student role so students can query normally before Exercise 3 restricts access: Data permissions → Grant → student role → SELECT (all columns).</w:t>
      </w:r>
    </w:p>
    <w:p>
      <w:pPr>
        <w:spacing w:after="160"/>
      </w:pPr>
      <w:r>
        <w:t xml:space="preserve"/>
      </w:r>
    </w:p>
    <w:tbl>
      <w:tblPr>
        <w:tblW w:type="dxa" w:w="9360"/>
        <w:tblBorders>
          <w:top w:val="single" w:color="BF8F00" w:sz="1"/>
          <w:left w:val="single" w:color="BF8F00" w:sz="1"/>
          <w:bottom w:val="single" w:color="BF8F00" w:sz="1"/>
          <w:right w:val="single" w:color="BF8F0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pPr>
              <w:spacing w:after="60"/>
            </w:pPr>
            <w:r>
              <w:rPr>
                <w:rFonts w:ascii="Arial" w:cs="Arial" w:eastAsia="Arial" w:hAnsi="Arial"/>
                <w:b/>
                <w:bCs/>
                <w:color w:val="BF8F00"/>
                <w:sz w:val="20"/>
                <w:szCs w:val="20"/>
              </w:rPr>
              <w:t xml:space="preserve">⚠ WARNING</w:t>
            </w:r>
          </w:p>
          <w:p>
            <w:pPr>
              <w:spacing w:after="0"/>
            </w:pPr>
            <w:r>
              <w:rPr>
                <w:rFonts w:ascii="Arial" w:cs="Arial" w:eastAsia="Arial" w:hAnsi="Arial"/>
                <w:color w:val="1A1A1A"/>
                <w:sz w:val="20"/>
                <w:szCs w:val="20"/>
              </w:rPr>
              <w:t xml:space="preserve">Test Athena against the grants table after enabling Lake Formation before class. Enabling LF can silently break Athena access because S3 bucket permissions shift to LF control. If Athena returns Access Denied, verify the S3 path is registered as a data lake location.</w:t>
            </w:r>
          </w:p>
        </w:tc>
      </w:tr>
    </w:tbl>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9DC3E6"/>
                <w:sz w:val="26"/>
                <w:szCs w:val="26"/>
              </w:rPr>
              <w:t xml:space="preserve">Exercise 1: </w:t>
            </w:r>
            <w:r>
              <w:rPr>
                <w:rFonts w:ascii="Arial" w:cs="Arial" w:eastAsia="Arial" w:hAnsi="Arial"/>
                <w:b/>
                <w:bCs/>
                <w:color w:val="FFFFFF"/>
                <w:sz w:val="26"/>
                <w:szCs w:val="26"/>
              </w:rPr>
              <w:t xml:space="preserve">Explore a Managed Database</w:t>
            </w:r>
          </w:p>
        </w:tc>
        <w:tc>
          <w:tcPr>
            <w:tcW w:type="dxa" w:w="2160"/>
            <w:tcBorders>
              <w:top w:val="none" w:color="FFFFFF" w:sz="0"/>
              <w:left w:val="none" w:color="FFFFFF" w:sz="0"/>
              <w:bottom w:val="none" w:color="FFFFFF" w:sz="0"/>
              <w:right w:val="none" w:color="FFFFFF" w:sz="0"/>
            </w:tcBorders>
            <w:shd w:fill="2E5FA3" w:val="clear"/>
            <w:tcMar>
              <w:top w:type="dxa" w:w="120"/>
              <w:left w:type="dxa" w:w="160"/>
              <w:bottom w:type="dxa" w:w="120"/>
              <w:right w:type="dxa" w:w="160"/>
            </w:tcMar>
          </w:tcPr>
          <w:p>
            <w:pPr>
              <w:spacing w:after="0"/>
              <w:jc w:val="center"/>
            </w:pPr>
            <w:r>
              <w:rPr>
                <w:rFonts w:ascii="Arial" w:cs="Arial" w:eastAsia="Arial" w:hAnsi="Arial"/>
                <w:b/>
                <w:bCs/>
                <w:color w:val="FFFFFF"/>
                <w:sz w:val="24"/>
                <w:szCs w:val="24"/>
              </w:rPr>
              <w:t xml:space="preserve">~15 minutes</w:t>
            </w:r>
          </w:p>
        </w:tc>
      </w:tr>
    </w:tbl>
    <w:p>
      <w:pPr>
        <w:spacing w:after="160"/>
      </w:pPr>
      <w:r>
        <w:t xml:space="preserve"/>
      </w:r>
    </w:p>
    <w:p>
      <w:pPr>
        <w:spacing w:after="120"/>
      </w:pPr>
      <w:r>
        <w:rPr>
          <w:rFonts w:ascii="Arial" w:cs="Arial" w:eastAsia="Arial" w:hAnsi="Arial"/>
          <w:b w:val="false"/>
          <w:bCs w:val="false"/>
          <w:i w:val="false"/>
          <w:iCs w:val="false"/>
          <w:color w:val="1A1A1A"/>
          <w:sz w:val="22"/>
          <w:szCs w:val="22"/>
        </w:rPr>
        <w:t xml:space="preserve">In Week 6 you queried grant data that lives in S3 — every query is a file scan. This exercise connects you to a live PostgreSQL database running the Whiskers &amp; Waffles cat cafe schema you used in Weeks 3–5. Same database, completely different infrastructure. The moment of contrast is the INSERT: you write a row to RDS and read it back in the same breath. Athena cannot do that.</w:t>
      </w:r>
    </w:p>
    <w:p>
      <w:pPr>
        <w:spacing w:after="160"/>
      </w:pPr>
      <w:r>
        <w:t xml:space="preserve"/>
      </w:r>
    </w:p>
    <w:p>
      <w:pPr>
        <w:pStyle w:val="Heading3"/>
        <w:spacing w:before="200" w:after="100"/>
      </w:pPr>
      <w:r>
        <w:rPr>
          <w:rFonts w:ascii="Arial" w:cs="Arial" w:eastAsia="Arial" w:hAnsi="Arial"/>
          <w:b/>
          <w:bCs/>
          <w:color w:val="1F3864"/>
          <w:sz w:val="22"/>
          <w:szCs w:val="22"/>
        </w:rPr>
        <w:t xml:space="preserve">Step 1 — Connect to RDS via CloudShell</w:t>
      </w:r>
    </w:p>
    <w:p>
      <w:pPr>
        <w:spacing w:after="120"/>
      </w:pPr>
      <w:r>
        <w:rPr>
          <w:rFonts w:ascii="Arial" w:cs="Arial" w:eastAsia="Arial" w:hAnsi="Arial"/>
          <w:b w:val="false"/>
          <w:bCs w:val="false"/>
          <w:i w:val="false"/>
          <w:iCs w:val="false"/>
          <w:color w:val="1A1A1A"/>
          <w:sz w:val="22"/>
          <w:szCs w:val="22"/>
        </w:rPr>
        <w:t xml:space="preserve">Open AWS CloudShell from the top toolbar. This avoids any local psql installation requirements.</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psql -h YOUR_RDS_ENDPOINT.rds.amazonaws.com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-U ppol_admin -d ppol5206 -W</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Enter the shared password when prompted.</w:t>
      </w:r>
    </w:p>
    <w:p>
      <w:pPr>
        <w:spacing w:after="160"/>
      </w:pPr>
      <w:r>
        <w:t xml:space="preserve"/>
      </w:r>
    </w:p>
    <w:p>
      <w:pPr>
        <w:pStyle w:val="Heading3"/>
        <w:spacing w:before="200" w:after="100"/>
      </w:pPr>
      <w:r>
        <w:rPr>
          <w:rFonts w:ascii="Arial" w:cs="Arial" w:eastAsia="Arial" w:hAnsi="Arial"/>
          <w:b/>
          <w:bCs/>
          <w:color w:val="1F3864"/>
          <w:sz w:val="22"/>
          <w:szCs w:val="22"/>
        </w:rPr>
        <w:t xml:space="preserve">Step 2 — Explore the Cat Cafe Database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c.name AS cat_name, b.breed_name, c.status, c.personality_notes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FROM   cats c JOIN breeds b ON c.breed_id = b.breed_id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LIMIT  10;</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This is the same cat cafe database you queried in Weeks 3–5 — now living in a managed cloud database with indexes, constraints, and foreign keys. Notice the JOIN executes instantly; this is a row-store engine optimized for transactional queries, not a file scan.</w:t>
      </w:r>
    </w:p>
    <w:p>
      <w:pPr>
        <w:spacing w:after="160"/>
      </w:pPr>
      <w:r>
        <w:t xml:space="preserve"/>
      </w:r>
    </w:p>
    <w:p>
      <w:pPr>
        <w:pStyle w:val="Heading3"/>
        <w:spacing w:before="200" w:after="100"/>
      </w:pPr>
      <w:r>
        <w:rPr>
          <w:rFonts w:ascii="Arial" w:cs="Arial" w:eastAsia="Arial" w:hAnsi="Arial"/>
          <w:b/>
          <w:bCs/>
          <w:color w:val="1F3864"/>
          <w:sz w:val="22"/>
          <w:szCs w:val="22"/>
        </w:rPr>
        <w:t xml:space="preserve">Step 3 — Insert a Row and Read It Back Immediately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INSERT INTO customers (first_name, last_name, email, join_date)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VALUES ('Georgetown', 'Student', 'student@georgetown.edu', '2026-02-18');</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 FROM customers WHERE email = 'student@georgetown.edu';</w:t>
            </w:r>
          </w:p>
        </w:tc>
      </w:tr>
    </w:tbl>
    <w:p>
      <w:pPr>
        <w:spacing w:after="80"/>
      </w:pPr>
      <w:r>
        <w:t xml:space="preserve"/>
      </w:r>
    </w:p>
    <w:tbl>
      <w:tblPr>
        <w:tblW w:type="dxa" w:w="9360"/>
        <w:tblBorders>
          <w:top w:val="single" w:color="375623" w:sz="1"/>
          <w:left w:val="single" w:color="375623" w:sz="1"/>
          <w:bottom w:val="single" w:color="375623" w:sz="1"/>
          <w:right w:val="single" w:color="37562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spacing w:after="60"/>
            </w:pPr>
            <w:r>
              <w:rPr>
                <w:rFonts w:ascii="Arial" w:cs="Arial" w:eastAsia="Arial" w:hAnsi="Arial"/>
                <w:b/>
                <w:bCs/>
                <w:color w:val="375623"/>
                <w:sz w:val="20"/>
                <w:szCs w:val="20"/>
              </w:rPr>
              <w:t xml:space="preserve">✓ TIP</w:t>
            </w:r>
          </w:p>
          <w:p>
            <w:pPr>
              <w:spacing w:after="0"/>
            </w:pPr>
            <w:r>
              <w:rPr>
                <w:rFonts w:ascii="Arial" w:cs="Arial" w:eastAsia="Arial" w:hAnsi="Arial"/>
                <w:color w:val="1A1A1A"/>
                <w:sz w:val="20"/>
                <w:szCs w:val="20"/>
              </w:rPr>
              <w:t xml:space="preserve">Observe: this row is readable in the same transaction with no delay and no file scan. This is ACID-compliant, row-level, immediately consistent storage. The row does not exist on S3 — it exists in a buffer and a write-ahead log managed by PostgreSQL.</w:t>
            </w:r>
          </w:p>
        </w:tc>
      </w:tr>
    </w:tbl>
    <w:p>
      <w:pPr>
        <w:spacing w:after="160"/>
      </w:pPr>
      <w:r>
        <w:t xml:space="preserve"/>
      </w:r>
    </w:p>
    <w:p>
      <w:pPr>
        <w:pStyle w:val="Heading3"/>
        <w:spacing w:before="200" w:after="100"/>
      </w:pPr>
      <w:r>
        <w:rPr>
          <w:rFonts w:ascii="Arial" w:cs="Arial" w:eastAsia="Arial" w:hAnsi="Arial"/>
          <w:b/>
          <w:bCs/>
          <w:color w:val="1F3864"/>
          <w:sz w:val="22"/>
          <w:szCs w:val="22"/>
        </w:rPr>
        <w:t xml:space="preserve">Step 4 — Attempt the Same INSERT in Athena</w:t>
      </w:r>
    </w:p>
    <w:p>
      <w:pPr>
        <w:spacing w:after="120"/>
      </w:pPr>
      <w:r>
        <w:rPr>
          <w:rFonts w:ascii="Arial" w:cs="Arial" w:eastAsia="Arial" w:hAnsi="Arial"/>
          <w:b w:val="false"/>
          <w:bCs w:val="false"/>
          <w:i w:val="false"/>
          <w:iCs w:val="false"/>
          <w:color w:val="1A1A1A"/>
          <w:sz w:val="22"/>
          <w:szCs w:val="22"/>
        </w:rPr>
        <w:t xml:space="preserve">Open Athena in a separate browser tab. Select ppol5206_lab as the database. Now try inserting a row into the Week 6 grants table that lives in S3:</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INSERT INTO grants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VALUES ('APP999', 'Georgetown Lab Test Org', 50000, 'education', '2024-02-18', 'pending');</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This will either fail outright (if the table format does not support INSERT) or appear to succeed but write a new file fragment to s3://ppol5206-[initials]-lab/raw/grants/ — not a row in a table. That is the lesson: Athena's INSERT is a file write operation dressed as SQL. There is no transaction, no immediate consistency, and no row-level guarantee.</w:t>
      </w:r>
    </w:p>
    <w:p>
      <w:pPr>
        <w:spacing w:after="160"/>
      </w:pPr>
      <w:r>
        <w:t xml:space="preserve"/>
      </w:r>
    </w:p>
    <w:tbl>
      <w:tblPr>
        <w:tblW w:type="dxa" w:w="9360"/>
        <w:tblBorders>
          <w:top w:val="single" w:color="2E5FA3" w:sz="1"/>
          <w:left w:val="single" w:color="2E5FA3" w:sz="1"/>
          <w:bottom w:val="single" w:color="2E5FA3" w:sz="1"/>
          <w:right w:val="single" w:color="2E5FA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pPr>
              <w:spacing w:after="60"/>
            </w:pPr>
            <w:r>
              <w:rPr>
                <w:rFonts w:ascii="Arial" w:cs="Arial" w:eastAsia="Arial" w:hAnsi="Arial"/>
                <w:b/>
                <w:bCs/>
                <w:color w:val="2E5FA3"/>
                <w:sz w:val="20"/>
                <w:szCs w:val="20"/>
              </w:rPr>
              <w:t xml:space="preserve">REFLECTION PROMPT</w:t>
            </w:r>
          </w:p>
          <w:p>
            <w:pPr>
              <w:spacing w:after="80"/>
            </w:pPr>
            <w:r>
              <w:rPr>
                <w:rFonts w:ascii="Arial" w:cs="Arial" w:eastAsia="Arial" w:hAnsi="Arial"/>
                <w:i/>
                <w:iCs/>
                <w:color w:val="1A1A1A"/>
                <w:sz w:val="20"/>
                <w:szCs w:val="20"/>
              </w:rPr>
              <w:t xml:space="preserve">What does 'immediately consistent' mean in the context of relational databases? Describe a real-world government scenario — perhaps in grant management, census operations, or regulatory filing — where that property is critical, and a second scenario where eventual consistency across a file-based data lake would be perfectly acceptable.</w:t>
            </w:r>
          </w:p>
          <w:p>
            <w:pPr>
              <w:spacing w:after="0"/>
            </w:pPr>
            <w:r>
              <w:rPr>
                <w:rFonts w:ascii="Arial" w:cs="Arial" w:eastAsia="Arial" w:hAnsi="Arial"/>
                <w:b/>
                <w:bCs/>
                <w:color w:val="595959"/>
                <w:sz w:val="20"/>
                <w:szCs w:val="20"/>
              </w:rPr>
              <w:t xml:space="preserve">Your response (1 paragraph):</w:t>
            </w:r>
          </w:p>
          <w:p>
            <w:pPr>
              <w:spacing w:after="0"/>
            </w:pPr>
            <w:r>
              <w:rPr>
                <w:sz w:val="60"/>
                <w:szCs w:val="60"/>
              </w:rPr>
              <w:t xml:space="preserve"> </w:t>
            </w:r>
          </w:p>
          <w:p>
            <w:pPr>
              <w:spacing w:after="0"/>
            </w:pPr>
            <w:r>
              <w:rPr>
                <w:sz w:val="60"/>
                <w:szCs w:val="60"/>
              </w:rPr>
              <w:t xml:space="preserve"> </w:t>
            </w:r>
          </w:p>
          <w:p>
            <w:pPr>
              <w:spacing w:after="0"/>
            </w:pPr>
            <w:r>
              <w:rPr>
                <w:sz w:val="60"/>
                <w:szCs w:val="60"/>
              </w:rPr>
              <w:t xml:space="preserve"> </w:t>
            </w:r>
          </w:p>
        </w:tc>
      </w:tr>
    </w:tbl>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9DC3E6"/>
                <w:sz w:val="26"/>
                <w:szCs w:val="26"/>
              </w:rPr>
              <w:t xml:space="preserve">Exercise 2: </w:t>
            </w:r>
            <w:r>
              <w:rPr>
                <w:rFonts w:ascii="Arial" w:cs="Arial" w:eastAsia="Arial" w:hAnsi="Arial"/>
                <w:b/>
                <w:bCs/>
                <w:color w:val="FFFFFF"/>
                <w:sz w:val="26"/>
                <w:szCs w:val="26"/>
              </w:rPr>
              <w:t xml:space="preserve">Query in Redshift Serverless</w:t>
            </w:r>
          </w:p>
        </w:tc>
        <w:tc>
          <w:tcPr>
            <w:tcW w:type="dxa" w:w="2160"/>
            <w:tcBorders>
              <w:top w:val="none" w:color="FFFFFF" w:sz="0"/>
              <w:left w:val="none" w:color="FFFFFF" w:sz="0"/>
              <w:bottom w:val="none" w:color="FFFFFF" w:sz="0"/>
              <w:right w:val="none" w:color="FFFFFF" w:sz="0"/>
            </w:tcBorders>
            <w:shd w:fill="2E5FA3" w:val="clear"/>
            <w:tcMar>
              <w:top w:type="dxa" w:w="120"/>
              <w:left w:type="dxa" w:w="160"/>
              <w:bottom w:type="dxa" w:w="120"/>
              <w:right w:type="dxa" w:w="160"/>
            </w:tcMar>
          </w:tcPr>
          <w:p>
            <w:pPr>
              <w:spacing w:after="0"/>
              <w:jc w:val="center"/>
            </w:pPr>
            <w:r>
              <w:rPr>
                <w:rFonts w:ascii="Arial" w:cs="Arial" w:eastAsia="Arial" w:hAnsi="Arial"/>
                <w:b/>
                <w:bCs/>
                <w:color w:val="FFFFFF"/>
                <w:sz w:val="24"/>
                <w:szCs w:val="24"/>
              </w:rPr>
              <w:t xml:space="preserve">~20 minutes</w:t>
            </w:r>
          </w:p>
        </w:tc>
      </w:tr>
    </w:tbl>
    <w:p>
      <w:pPr>
        <w:spacing w:after="160"/>
      </w:pPr>
      <w:r>
        <w:t xml:space="preserve"/>
      </w:r>
    </w:p>
    <w:p>
      <w:pPr>
        <w:spacing w:after="120"/>
      </w:pPr>
      <w:r>
        <w:rPr>
          <w:rFonts w:ascii="Arial" w:cs="Arial" w:eastAsia="Arial" w:hAnsi="Arial"/>
          <w:b w:val="false"/>
          <w:bCs w:val="false"/>
          <w:i w:val="false"/>
          <w:iCs w:val="false"/>
          <w:color w:val="1A1A1A"/>
          <w:sz w:val="22"/>
          <w:szCs w:val="22"/>
        </w:rPr>
        <w:t xml:space="preserve">In Week 6 Athena queried your S3 grant data using the ppol5206_lab Glue catalog. Redshift Serverless uses that same catalog, meaning the same table definitions and the same S3 files — but a fundamentally different query engine. Same data, same SQL, different architecture.</w:t>
      </w:r>
    </w:p>
    <w:p>
      <w:pPr>
        <w:spacing w:after="160"/>
      </w:pPr>
      <w:r>
        <w:t xml:space="preserve"/>
      </w:r>
    </w:p>
    <w:p>
      <w:pPr>
        <w:pStyle w:val="Heading3"/>
        <w:spacing w:before="200" w:after="100"/>
      </w:pPr>
      <w:r>
        <w:rPr>
          <w:rFonts w:ascii="Arial" w:cs="Arial" w:eastAsia="Arial" w:hAnsi="Arial"/>
          <w:b/>
          <w:bCs/>
          <w:color w:val="1F3864"/>
          <w:sz w:val="22"/>
          <w:szCs w:val="22"/>
        </w:rPr>
        <w:t xml:space="preserve">Step 1 — Connect to Redshift Query Editor v2</w:t>
      </w:r>
    </w:p>
    <w:p>
      <w:pPr>
        <w:spacing w:after="120"/>
      </w:pPr>
      <w:r>
        <w:rPr>
          <w:rFonts w:ascii="Arial" w:cs="Arial" w:eastAsia="Arial" w:hAnsi="Arial"/>
          <w:b w:val="false"/>
          <w:bCs w:val="false"/>
          <w:i w:val="false"/>
          <w:iCs w:val="false"/>
          <w:color w:val="1A1A1A"/>
          <w:sz w:val="22"/>
          <w:szCs w:val="22"/>
        </w:rPr>
        <w:t xml:space="preserve">Go to Amazon Redshift → Query editor v2. Connect to the ppol5206-analytics workgroup using federated user or database credentials.</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SHOW SCHEMAS;</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You should see glue_data listed alongside the default schemas. If not, ask your instructor — the external schema setup may need to be re-run.</w:t>
      </w:r>
    </w:p>
    <w:p>
      <w:pPr>
        <w:spacing w:after="160"/>
      </w:pPr>
      <w:r>
        <w:t xml:space="preserve"/>
      </w:r>
    </w:p>
    <w:p>
      <w:pPr>
        <w:pStyle w:val="Heading3"/>
        <w:spacing w:before="200" w:after="100"/>
      </w:pPr>
      <w:r>
        <w:rPr>
          <w:rFonts w:ascii="Arial" w:cs="Arial" w:eastAsia="Arial" w:hAnsi="Arial"/>
          <w:b/>
          <w:bCs/>
          <w:color w:val="1F3864"/>
          <w:sz w:val="22"/>
          <w:szCs w:val="22"/>
        </w:rPr>
        <w:t xml:space="preserve">Step 2 — Run the Core Analytical Query</w:t>
      </w:r>
    </w:p>
    <w:p>
      <w:pPr>
        <w:spacing w:after="120"/>
      </w:pPr>
      <w:r>
        <w:rPr>
          <w:rFonts w:ascii="Arial" w:cs="Arial" w:eastAsia="Arial" w:hAnsi="Arial"/>
          <w:b w:val="false"/>
          <w:bCs w:val="false"/>
          <w:i w:val="false"/>
          <w:iCs w:val="false"/>
          <w:color w:val="1A1A1A"/>
          <w:sz w:val="22"/>
          <w:szCs w:val="22"/>
        </w:rPr>
        <w:t xml:space="preserve">Run this aggregation against the grants table from your Week 6 Glue catalog:</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program_area,</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status,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COUNT(*)                    AS application_count,</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SUM(requested_amount)       AS total_requested,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AVG(requested_amount)::INT  AS avg_requested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FROM   glue_data.grants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GROUP  BY program_area, status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ORDER  BY total_requested DESC;</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Note the execution time at the bottom of the query editor.</w:t>
      </w:r>
    </w:p>
    <w:p>
      <w:pPr>
        <w:spacing w:after="160"/>
      </w:pPr>
      <w:r>
        <w:t xml:space="preserve"/>
      </w:r>
    </w:p>
    <w:p>
      <w:pPr>
        <w:pStyle w:val="Heading3"/>
        <w:spacing w:before="200" w:after="100"/>
      </w:pPr>
      <w:r>
        <w:rPr>
          <w:rFonts w:ascii="Arial" w:cs="Arial" w:eastAsia="Arial" w:hAnsi="Arial"/>
          <w:b/>
          <w:bCs/>
          <w:color w:val="1F3864"/>
          <w:sz w:val="22"/>
          <w:szCs w:val="22"/>
        </w:rPr>
        <w:t xml:space="preserve">Step 3 — Pull the Query Plan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EXPLAIN</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program_area,</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SUM(requested_amount) AS total_requested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FROM   glue_data.grants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GROUP  BY program_area;</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Screenshot or copy the EXPLAIN output. You do not need to fully parse it. Note that it shows distribution keys, sort operations, and node-level cost estimates that Athena's explain does not surface the same way.</w:t>
      </w:r>
    </w:p>
    <w:p>
      <w:pPr>
        <w:spacing w:after="160"/>
      </w:pPr>
      <w:r>
        <w:t xml:space="preserve"/>
      </w:r>
    </w:p>
    <w:p>
      <w:pPr>
        <w:pStyle w:val="Heading3"/>
        <w:spacing w:before="200" w:after="100"/>
      </w:pPr>
      <w:r>
        <w:rPr>
          <w:rFonts w:ascii="Arial" w:cs="Arial" w:eastAsia="Arial" w:hAnsi="Arial"/>
          <w:b/>
          <w:bCs/>
          <w:color w:val="1F3864"/>
          <w:sz w:val="22"/>
          <w:szCs w:val="22"/>
        </w:rPr>
        <w:t xml:space="preserve">Step 4 — Run the Same Query in Athena</w:t>
      </w:r>
    </w:p>
    <w:p>
      <w:pPr>
        <w:spacing w:after="120"/>
      </w:pPr>
      <w:r>
        <w:rPr>
          <w:rFonts w:ascii="Arial" w:cs="Arial" w:eastAsia="Arial" w:hAnsi="Arial"/>
          <w:b w:val="false"/>
          <w:bCs w:val="false"/>
          <w:i w:val="false"/>
          <w:iCs w:val="false"/>
          <w:color w:val="1A1A1A"/>
          <w:sz w:val="22"/>
          <w:szCs w:val="22"/>
        </w:rPr>
        <w:t xml:space="preserve">Switch back to your Athena tab and run the same aggregation against ppol5206_lab.grants. Note the execution time.</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program_area,</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status,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COUNT(*)                AS application_count,</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SUM(requested_amount)   AS total_requested,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AVG(requested_amount)   AS avg_requested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FROM   grants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GROUP  BY program_area, status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ORDER  BY total_requested DESC;</w:t>
            </w:r>
          </w:p>
        </w:tc>
      </w:tr>
    </w:tbl>
    <w:p>
      <w:pPr>
        <w:spacing w:after="160"/>
      </w:pPr>
      <w:r>
        <w:t xml:space="preserve"/>
      </w:r>
    </w:p>
    <w:p>
      <w:pPr>
        <w:spacing w:after="120"/>
      </w:pPr>
      <w:r>
        <w:rPr>
          <w:rFonts w:ascii="Arial" w:cs="Arial" w:eastAsia="Arial" w:hAnsi="Arial"/>
          <w:b/>
          <w:bCs/>
          <w:i w:val="false"/>
          <w:iCs w:val="false"/>
          <w:color w:val="1A1A1A"/>
          <w:sz w:val="22"/>
          <w:szCs w:val="22"/>
        </w:rPr>
        <w:t xml:space="preserve">Comparison deliverable — record the following:</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0"/>
        <w:gridCol w:w="2680"/>
        <w:gridCol w:w="2680"/>
      </w:tblGrid>
      <w:tr>
        <w:tc>
          <w:tcPr>
            <w:tcW w:type="dxa" w:w="40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w:t>
            </w:r>
          </w:p>
        </w:tc>
        <w:tc>
          <w:tcPr>
            <w:tcW w:type="dxa" w:w="268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Athena</w:t>
            </w:r>
          </w:p>
        </w:tc>
        <w:tc>
          <w:tcPr>
            <w:tcW w:type="dxa" w:w="268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Redshift Serverless</w:t>
            </w:r>
          </w:p>
        </w:tc>
      </w:tr>
      <w:tr>
        <w:tc>
          <w:tcPr>
            <w:tcW w:type="dxa" w:w="4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Execution time</w:t>
            </w:r>
          </w:p>
        </w:tc>
        <w:tc>
          <w:tcPr>
            <w:tcW w:type="dxa" w:w="26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sz w:val="20"/>
                <w:szCs w:val="20"/>
              </w:rPr>
              <w:t xml:space="preserve"/>
            </w:r>
          </w:p>
        </w:tc>
        <w:tc>
          <w:tcPr>
            <w:tcW w:type="dxa" w:w="26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sz w:val="20"/>
                <w:szCs w:val="20"/>
              </w:rPr>
              <w:t xml:space="preserve"/>
            </w:r>
          </w:p>
        </w:tc>
      </w:tr>
      <w:tr>
        <w:tc>
          <w:tcPr>
            <w:tcW w:type="dxa" w:w="4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Query plan visible?</w:t>
            </w:r>
          </w:p>
        </w:tc>
        <w:tc>
          <w:tcPr>
            <w:tcW w:type="dxa" w:w="2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sz w:val="20"/>
                <w:szCs w:val="20"/>
              </w:rPr>
              <w:t xml:space="preserve"/>
            </w:r>
          </w:p>
        </w:tc>
        <w:tc>
          <w:tcPr>
            <w:tcW w:type="dxa" w:w="2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sz w:val="20"/>
                <w:szCs w:val="20"/>
              </w:rPr>
              <w:t xml:space="preserve"/>
            </w:r>
          </w:p>
        </w:tc>
      </w:tr>
      <w:tr>
        <w:tc>
          <w:tcPr>
            <w:tcW w:type="dxa" w:w="4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Console experience notes</w:t>
            </w:r>
          </w:p>
        </w:tc>
        <w:tc>
          <w:tcPr>
            <w:tcW w:type="dxa" w:w="26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sz w:val="20"/>
                <w:szCs w:val="20"/>
              </w:rPr>
              <w:t xml:space="preserve"/>
            </w:r>
          </w:p>
        </w:tc>
        <w:tc>
          <w:tcPr>
            <w:tcW w:type="dxa" w:w="26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sz w:val="20"/>
                <w:szCs w:val="20"/>
              </w:rPr>
              <w:t xml:space="preserve"/>
            </w:r>
          </w:p>
        </w:tc>
      </w:tr>
      <w:tr>
        <w:tc>
          <w:tcPr>
            <w:tcW w:type="dxa" w:w="4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Best for a dashboard refreshing every 5 min with 20 concurrent users?</w:t>
            </w:r>
          </w:p>
        </w:tc>
        <w:tc>
          <w:tcPr>
            <w:tcW w:type="dxa" w:w="2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sz w:val="20"/>
                <w:szCs w:val="20"/>
              </w:rPr>
              <w:t xml:space="preserve"/>
            </w:r>
          </w:p>
        </w:tc>
        <w:tc>
          <w:tcPr>
            <w:tcW w:type="dxa" w:w="2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sz w:val="20"/>
                <w:szCs w:val="20"/>
              </w:rPr>
              <w:t xml:space="preserve"/>
            </w:r>
          </w:p>
        </w:tc>
      </w:tr>
    </w:tbl>
    <w:p>
      <w:pPr>
        <w:spacing w:after="160"/>
      </w:pPr>
      <w:r>
        <w:t xml:space="preserve"/>
      </w:r>
    </w:p>
    <w:tbl>
      <w:tblPr>
        <w:tblW w:type="dxa" w:w="9360"/>
        <w:tblBorders>
          <w:top w:val="single" w:color="2E5FA3" w:sz="1"/>
          <w:left w:val="single" w:color="2E5FA3" w:sz="1"/>
          <w:bottom w:val="single" w:color="2E5FA3" w:sz="1"/>
          <w:right w:val="single" w:color="2E5FA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pPr>
              <w:spacing w:after="60"/>
            </w:pPr>
            <w:r>
              <w:rPr>
                <w:rFonts w:ascii="Arial" w:cs="Arial" w:eastAsia="Arial" w:hAnsi="Arial"/>
                <w:b/>
                <w:bCs/>
                <w:color w:val="2E5FA3"/>
                <w:sz w:val="20"/>
                <w:szCs w:val="20"/>
              </w:rPr>
              <w:t xml:space="preserve">REFLECTION PROMPT</w:t>
            </w:r>
          </w:p>
          <w:p>
            <w:pPr>
              <w:spacing w:after="80"/>
            </w:pPr>
            <w:r>
              <w:rPr>
                <w:rFonts w:ascii="Arial" w:cs="Arial" w:eastAsia="Arial" w:hAnsi="Arial"/>
                <w:i/>
                <w:iCs/>
                <w:color w:val="1A1A1A"/>
                <w:sz w:val="20"/>
                <w:szCs w:val="20"/>
              </w:rPr>
              <w:t xml:space="preserve">Which engine would you use for a grants management dashboard that refreshes every 5 minutes with 20 concurrent program officers reviewing it? Address cost model, concurrency handling, and cold-start behavior. The grants table is small now, but scale your answer to a realistic government scenario with hundreds of thousands of applications.</w:t>
            </w:r>
          </w:p>
          <w:p>
            <w:pPr>
              <w:spacing w:after="0"/>
            </w:pPr>
            <w:r>
              <w:rPr>
                <w:rFonts w:ascii="Arial" w:cs="Arial" w:eastAsia="Arial" w:hAnsi="Arial"/>
                <w:b/>
                <w:bCs/>
                <w:color w:val="595959"/>
                <w:sz w:val="20"/>
                <w:szCs w:val="20"/>
              </w:rPr>
              <w:t xml:space="preserve">Your response (1 paragraph):</w:t>
            </w:r>
          </w:p>
          <w:p>
            <w:pPr>
              <w:spacing w:after="0"/>
            </w:pPr>
            <w:r>
              <w:rPr>
                <w:sz w:val="60"/>
                <w:szCs w:val="60"/>
              </w:rPr>
              <w:t xml:space="preserve"> </w:t>
            </w:r>
          </w:p>
          <w:p>
            <w:pPr>
              <w:spacing w:after="0"/>
            </w:pPr>
            <w:r>
              <w:rPr>
                <w:sz w:val="60"/>
                <w:szCs w:val="60"/>
              </w:rPr>
              <w:t xml:space="preserve"> </w:t>
            </w:r>
          </w:p>
          <w:p>
            <w:pPr>
              <w:spacing w:after="0"/>
            </w:pPr>
            <w:r>
              <w:rPr>
                <w:sz w:val="60"/>
                <w:szCs w:val="60"/>
              </w:rPr>
              <w:t xml:space="preserve"> </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9DC3E6"/>
                <w:sz w:val="26"/>
                <w:szCs w:val="26"/>
              </w:rPr>
              <w:t xml:space="preserve">Exercise 3: </w:t>
            </w:r>
            <w:r>
              <w:rPr>
                <w:rFonts w:ascii="Arial" w:cs="Arial" w:eastAsia="Arial" w:hAnsi="Arial"/>
                <w:b/>
                <w:bCs/>
                <w:color w:val="FFFFFF"/>
                <w:sz w:val="26"/>
                <w:szCs w:val="26"/>
              </w:rPr>
              <w:t xml:space="preserve">Lake Formation Permissions</w:t>
            </w:r>
          </w:p>
        </w:tc>
        <w:tc>
          <w:tcPr>
            <w:tcW w:type="dxa" w:w="2160"/>
            <w:tcBorders>
              <w:top w:val="none" w:color="FFFFFF" w:sz="0"/>
              <w:left w:val="none" w:color="FFFFFF" w:sz="0"/>
              <w:bottom w:val="none" w:color="FFFFFF" w:sz="0"/>
              <w:right w:val="none" w:color="FFFFFF" w:sz="0"/>
            </w:tcBorders>
            <w:shd w:fill="2E5FA3" w:val="clear"/>
            <w:tcMar>
              <w:top w:type="dxa" w:w="120"/>
              <w:left w:type="dxa" w:w="160"/>
              <w:bottom w:type="dxa" w:w="120"/>
              <w:right w:type="dxa" w:w="160"/>
            </w:tcMar>
          </w:tcPr>
          <w:p>
            <w:pPr>
              <w:spacing w:after="0"/>
              <w:jc w:val="center"/>
            </w:pPr>
            <w:r>
              <w:rPr>
                <w:rFonts w:ascii="Arial" w:cs="Arial" w:eastAsia="Arial" w:hAnsi="Arial"/>
                <w:b/>
                <w:bCs/>
                <w:color w:val="FFFFFF"/>
                <w:sz w:val="24"/>
                <w:szCs w:val="24"/>
              </w:rPr>
              <w:t xml:space="preserve">~15 minutes</w:t>
            </w:r>
          </w:p>
        </w:tc>
      </w:tr>
    </w:tbl>
    <w:p>
      <w:pPr>
        <w:spacing w:after="160"/>
      </w:pPr>
      <w:r>
        <w:t xml:space="preserve"/>
      </w:r>
    </w:p>
    <w:tbl>
      <w:tblPr>
        <w:tblW w:type="dxa" w:w="9360"/>
        <w:tblBorders>
          <w:top w:val="single" w:color="BF8F00" w:sz="1"/>
          <w:left w:val="single" w:color="BF8F00" w:sz="1"/>
          <w:bottom w:val="single" w:color="BF8F00" w:sz="1"/>
          <w:right w:val="single" w:color="BF8F0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pPr>
              <w:spacing w:after="60"/>
            </w:pPr>
            <w:r>
              <w:rPr>
                <w:rFonts w:ascii="Arial" w:cs="Arial" w:eastAsia="Arial" w:hAnsi="Arial"/>
                <w:b/>
                <w:bCs/>
                <w:color w:val="BF8F00"/>
                <w:sz w:val="20"/>
                <w:szCs w:val="20"/>
              </w:rPr>
              <w:t xml:space="preserve">⚠ WARNING</w:t>
            </w:r>
          </w:p>
          <w:p>
            <w:pPr>
              <w:spacing w:after="0"/>
            </w:pPr>
            <w:r>
              <w:rPr>
                <w:rFonts w:ascii="Arial" w:cs="Arial" w:eastAsia="Arial" w:hAnsi="Arial"/>
                <w:color w:val="1A1A1A"/>
                <w:sz w:val="20"/>
                <w:szCs w:val="20"/>
              </w:rPr>
              <w:t xml:space="preserve">This is the most technically fragile exercise. The IAM trust relationships must be exact. The most common failure is a typo in a role ARN or a missing Athena query result S3 prefix permission. Run a complete dry run yourself before class.</w:t>
            </w:r>
          </w:p>
        </w:tc>
      </w:tr>
    </w:tbl>
    <w:p>
      <w:pPr>
        <w:spacing w:after="160"/>
      </w:pPr>
      <w:r>
        <w:t xml:space="preserve"/>
      </w:r>
    </w:p>
    <w:p>
      <w:pPr>
        <w:spacing w:after="120"/>
      </w:pPr>
      <w:r>
        <w:rPr>
          <w:rFonts w:ascii="Arial" w:cs="Arial" w:eastAsia="Arial" w:hAnsi="Arial"/>
          <w:b w:val="false"/>
          <w:bCs w:val="false"/>
          <w:i w:val="false"/>
          <w:iCs w:val="false"/>
          <w:color w:val="1A1A1A"/>
          <w:sz w:val="22"/>
          <w:szCs w:val="22"/>
        </w:rPr>
        <w:t xml:space="preserve">In a competitive grant review process, it is common practice to conduct scoring blind to requested amounts — reviewers should assess merit before knowing what the organization is asking for. Lake Formation lets you enforce this architecturally, not just by policy. This exercise makes a column disappear based on who is asking.</w:t>
      </w:r>
    </w:p>
    <w:p>
      <w:pPr>
        <w:spacing w:after="160"/>
      </w:pPr>
      <w:r>
        <w:t xml:space="preserve"/>
      </w:r>
    </w:p>
    <w:p>
      <w:pPr>
        <w:pStyle w:val="Heading3"/>
        <w:spacing w:before="200" w:after="100"/>
      </w:pPr>
      <w:r>
        <w:rPr>
          <w:rFonts w:ascii="Arial" w:cs="Arial" w:eastAsia="Arial" w:hAnsi="Arial"/>
          <w:b/>
          <w:bCs/>
          <w:color w:val="1F3864"/>
          <w:sz w:val="22"/>
          <w:szCs w:val="22"/>
        </w:rPr>
        <w:t xml:space="preserve">Step 1 — Verify Your Own Full Access in Athena</w:t>
      </w:r>
    </w:p>
    <w:p>
      <w:pPr>
        <w:spacing w:after="120"/>
      </w:pPr>
      <w:r>
        <w:rPr>
          <w:rFonts w:ascii="Arial" w:cs="Arial" w:eastAsia="Arial" w:hAnsi="Arial"/>
          <w:b w:val="false"/>
          <w:bCs w:val="false"/>
          <w:i w:val="false"/>
          <w:iCs w:val="false"/>
          <w:color w:val="1A1A1A"/>
          <w:sz w:val="22"/>
          <w:szCs w:val="22"/>
        </w:rPr>
        <w:t xml:space="preserve">In Athena, confirm you can see all columns including requested_amount:</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 FROM grants LIMIT 5;</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You should see application_id, org_name, requested_amount, program_area, submission_date, and status.</w:t>
      </w:r>
    </w:p>
    <w:p>
      <w:pPr>
        <w:spacing w:after="160"/>
      </w:pPr>
      <w:r>
        <w:t xml:space="preserve"/>
      </w:r>
    </w:p>
    <w:p>
      <w:pPr>
        <w:pStyle w:val="Heading3"/>
        <w:spacing w:before="200" w:after="100"/>
      </w:pPr>
      <w:r>
        <w:rPr>
          <w:rFonts w:ascii="Arial" w:cs="Arial" w:eastAsia="Arial" w:hAnsi="Arial"/>
          <w:b/>
          <w:bCs/>
          <w:color w:val="1F3864"/>
          <w:sz w:val="22"/>
          <w:szCs w:val="22"/>
        </w:rPr>
        <w:t xml:space="preserve">Step 2 — Understand What the Instructor Configured in Lake Formation</w:t>
      </w:r>
    </w:p>
    <w:p>
      <w:pPr>
        <w:spacing w:after="120"/>
      </w:pPr>
      <w:r>
        <w:rPr>
          <w:rFonts w:ascii="Arial" w:cs="Arial" w:eastAsia="Arial" w:hAnsi="Arial"/>
          <w:b w:val="false"/>
          <w:bCs w:val="false"/>
          <w:i w:val="false"/>
          <w:iCs w:val="false"/>
          <w:color w:val="1A1A1A"/>
          <w:sz w:val="22"/>
          <w:szCs w:val="22"/>
        </w:rPr>
        <w:t xml:space="preserve">Your instructor has configured the following Lake Formation grants on the ppol5206_lab.grants table (review this to understand the architecture):</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The student role has SELECT permission on all columns — you can see everything.</w:t>
      </w:r>
    </w:p>
    <w:p>
      <w:pPr>
        <w:pStyle w:val="ListParagraph"/>
        <w:numPr>
          <w:ilvl w:val="0"/>
          <w:numId w:val="2"/>
        </w:numPr>
        <w:spacing w:after="80"/>
      </w:pPr>
      <w:r>
        <w:rPr>
          <w:rFonts w:ascii="Arial" w:cs="Arial" w:eastAsia="Arial" w:hAnsi="Arial"/>
          <w:b w:val="false"/>
          <w:bCs w:val="false"/>
          <w:sz w:val="22"/>
          <w:szCs w:val="22"/>
        </w:rPr>
        <w:t xml:space="preserve">The ppol5206-restricted-analyst role has SELECT permission on only a subset of columns: application_id, program_area, submission_date, and status.</w:t>
      </w:r>
    </w:p>
    <w:p>
      <w:pPr>
        <w:pStyle w:val="ListParagraph"/>
        <w:numPr>
          <w:ilvl w:val="0"/>
          <w:numId w:val="2"/>
        </w:numPr>
        <w:spacing w:after="80"/>
      </w:pPr>
      <w:r>
        <w:rPr>
          <w:rFonts w:ascii="Arial" w:cs="Arial" w:eastAsia="Arial" w:hAnsi="Arial"/>
          <w:b w:val="false"/>
          <w:bCs w:val="false"/>
          <w:sz w:val="22"/>
          <w:szCs w:val="22"/>
        </w:rPr>
        <w:t xml:space="preserve">The requested_amount and org_name columns are not in that grant — they are architecturally absent from what the restricted role can see.</w:t>
      </w:r>
    </w:p>
    <w:p>
      <w:pPr>
        <w:pStyle w:val="ListParagraph"/>
        <w:numPr>
          <w:ilvl w:val="0"/>
          <w:numId w:val="2"/>
        </w:numPr>
        <w:spacing w:after="80"/>
      </w:pPr>
      <w:r>
        <w:rPr>
          <w:rFonts w:ascii="Arial" w:cs="Arial" w:eastAsia="Arial" w:hAnsi="Arial"/>
          <w:b w:val="false"/>
          <w:bCs w:val="false"/>
          <w:sz w:val="22"/>
          <w:szCs w:val="22"/>
        </w:rPr>
        <w:t xml:space="preserve">The rationale: a blind review panel sees program area and submission timing but not the organization's identity or funding ask.</w:t>
      </w:r>
    </w:p>
    <w:p>
      <w:pPr>
        <w:spacing w:after="160"/>
      </w:pPr>
      <w:r>
        <w:t xml:space="preserve"/>
      </w:r>
    </w:p>
    <w:p>
      <w:pPr>
        <w:pStyle w:val="Heading3"/>
        <w:spacing w:before="200" w:after="100"/>
      </w:pPr>
      <w:r>
        <w:rPr>
          <w:rFonts w:ascii="Arial" w:cs="Arial" w:eastAsia="Arial" w:hAnsi="Arial"/>
          <w:b/>
          <w:bCs/>
          <w:color w:val="1F3864"/>
          <w:sz w:val="22"/>
          <w:szCs w:val="22"/>
        </w:rPr>
        <w:t xml:space="preserve">Step 3 — Assume the Restricted Role via CloudShell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aws sts assume-role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--role-arn arn:aws:iam::YOUR_ACCOUNT_ID:role/ppol5206-restricted-analyst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--role-session-name lab-test</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This returns temporary credentials. Export them:</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export AWS_ACCESS_KEY_ID=ASIA...</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export AWS_SECRET_ACCESS_KEY=...</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export AWS_SESSION_TOKEN=...</w:t>
            </w:r>
          </w:p>
        </w:tc>
      </w:tr>
    </w:tbl>
    <w:p>
      <w:pPr>
        <w:spacing w:after="160"/>
      </w:pPr>
      <w:r>
        <w:t xml:space="preserve"/>
      </w:r>
    </w:p>
    <w:p>
      <w:pPr>
        <w:pStyle w:val="Heading3"/>
        <w:spacing w:before="200" w:after="100"/>
      </w:pPr>
      <w:r>
        <w:rPr>
          <w:rFonts w:ascii="Arial" w:cs="Arial" w:eastAsia="Arial" w:hAnsi="Arial"/>
          <w:b/>
          <w:bCs/>
          <w:color w:val="1F3864"/>
          <w:sz w:val="22"/>
          <w:szCs w:val="22"/>
        </w:rPr>
        <w:t xml:space="preserve">Step 4 — Query Athena as the Restricted Role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aws athena start-query-execution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--query-string "SELECT * FROM grants LIMIT 5"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--query-execution-context Database=ppol5206_lab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--result-configuration OutputLocation=s3://ppol5206-[initials]-lab/athena-results/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Retrieve results using the query execution ID returned above: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aws athena get-query-results --query-execution-id THE_ID_RETURNED_ABOVE</w:t>
            </w:r>
          </w:p>
        </w:tc>
      </w:tr>
    </w:tbl>
    <w:p>
      <w:pPr>
        <w:spacing w:after="80"/>
      </w:pPr>
      <w:r>
        <w:t xml:space="preserve"/>
      </w:r>
    </w:p>
    <w:tbl>
      <w:tblPr>
        <w:tblW w:type="dxa" w:w="9360"/>
        <w:tblBorders>
          <w:top w:val="single" w:color="375623" w:sz="1"/>
          <w:left w:val="single" w:color="375623" w:sz="1"/>
          <w:bottom w:val="single" w:color="375623" w:sz="1"/>
          <w:right w:val="single" w:color="37562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spacing w:after="60"/>
            </w:pPr>
            <w:r>
              <w:rPr>
                <w:rFonts w:ascii="Arial" w:cs="Arial" w:eastAsia="Arial" w:hAnsi="Arial"/>
                <w:b/>
                <w:bCs/>
                <w:color w:val="375623"/>
                <w:sz w:val="20"/>
                <w:szCs w:val="20"/>
              </w:rPr>
              <w:t xml:space="preserve">✓ TIP</w:t>
            </w:r>
          </w:p>
          <w:p>
            <w:pPr>
              <w:spacing w:after="0"/>
            </w:pPr>
            <w:r>
              <w:rPr>
                <w:rFonts w:ascii="Arial" w:cs="Arial" w:eastAsia="Arial" w:hAnsi="Arial"/>
                <w:color w:val="1A1A1A"/>
                <w:sz w:val="20"/>
                <w:szCs w:val="20"/>
              </w:rPr>
              <w:t xml:space="preserve">The result shows only application_id, program_area, submission_date, and status. The requested_amount and org_name columns are not NULL — they are absent from the schema entirely. Lake Formation does not redact; it excludes. Those columns do not exist for this role.</w:t>
            </w:r>
          </w:p>
        </w:tc>
      </w:tr>
    </w:tbl>
    <w:p>
      <w:pPr>
        <w:spacing w:after="160"/>
      </w:pPr>
      <w:r>
        <w:t xml:space="preserve"/>
      </w:r>
    </w:p>
    <w:p>
      <w:pPr>
        <w:pStyle w:val="Heading3"/>
        <w:spacing w:before="200" w:after="100"/>
      </w:pPr>
      <w:r>
        <w:rPr>
          <w:rFonts w:ascii="Arial" w:cs="Arial" w:eastAsia="Arial" w:hAnsi="Arial"/>
          <w:b/>
          <w:bCs/>
          <w:color w:val="1F3864"/>
          <w:sz w:val="22"/>
          <w:szCs w:val="22"/>
        </w:rPr>
        <w:t xml:space="preserve">Optional Extension: LF-Tag Based Governance</w:t>
      </w:r>
    </w:p>
    <w:p>
      <w:pPr>
        <w:spacing w:after="120"/>
      </w:pPr>
      <w:r>
        <w:rPr>
          <w:rFonts w:ascii="Arial" w:cs="Arial" w:eastAsia="Arial" w:hAnsi="Arial"/>
          <w:b w:val="false"/>
          <w:bCs w:val="false"/>
          <w:i w:val="false"/>
          <w:iCs w:val="false"/>
          <w:color w:val="1A1A1A"/>
          <w:sz w:val="22"/>
          <w:szCs w:val="22"/>
        </w:rPr>
        <w:t xml:space="preserve">If time allows, this demonstrates how tag-based governance scales to hundreds of tables — you manage one policy rather than column-by-column grants:</w:t>
      </w:r>
    </w:p>
    <w:p>
      <w:pPr>
        <w:spacing w:after="80"/>
      </w:pPr>
      <w:r>
        <w:t xml:space="preserve"/>
      </w:r>
    </w:p>
    <w:p>
      <w:pPr>
        <w:pStyle w:val="ListParagraph"/>
        <w:numPr>
          <w:ilvl w:val="0"/>
          <w:numId w:val="3"/>
        </w:numPr>
        <w:spacing w:after="100"/>
      </w:pPr>
      <w:r>
        <w:rPr>
          <w:rFonts w:ascii="Arial" w:cs="Arial" w:eastAsia="Arial" w:hAnsi="Arial"/>
          <w:sz w:val="22"/>
          <w:szCs w:val="22"/>
        </w:rPr>
        <w:t xml:space="preserve">Go to Lake Formation → LF-Tags. Create a tag: Key = sensitivity, Values = restricted, public.</w:t>
      </w:r>
    </w:p>
    <w:p>
      <w:pPr>
        <w:pStyle w:val="ListParagraph"/>
        <w:numPr>
          <w:ilvl w:val="0"/>
          <w:numId w:val="3"/>
        </w:numPr>
        <w:spacing w:after="100"/>
      </w:pPr>
      <w:r>
        <w:rPr>
          <w:rFonts w:ascii="Arial" w:cs="Arial" w:eastAsia="Arial" w:hAnsi="Arial"/>
          <w:sz w:val="22"/>
          <w:szCs w:val="22"/>
        </w:rPr>
        <w:t xml:space="preserve">Assign sensitivity=restricted to the requested_amount and org_name columns.</w:t>
      </w:r>
    </w:p>
    <w:p>
      <w:pPr>
        <w:pStyle w:val="ListParagraph"/>
        <w:numPr>
          <w:ilvl w:val="0"/>
          <w:numId w:val="3"/>
        </w:numPr>
        <w:spacing w:after="100"/>
      </w:pPr>
      <w:r>
        <w:rPr>
          <w:rFonts w:ascii="Arial" w:cs="Arial" w:eastAsia="Arial" w:hAnsi="Arial"/>
          <w:sz w:val="22"/>
          <w:szCs w:val="22"/>
        </w:rPr>
        <w:t xml:space="preserve">Assign sensitivity=public to all other columns.</w:t>
      </w:r>
    </w:p>
    <w:p>
      <w:pPr>
        <w:pStyle w:val="ListParagraph"/>
        <w:numPr>
          <w:ilvl w:val="0"/>
          <w:numId w:val="3"/>
        </w:numPr>
        <w:spacing w:after="100"/>
      </w:pPr>
      <w:r>
        <w:rPr>
          <w:rFonts w:ascii="Arial" w:cs="Arial" w:eastAsia="Arial" w:hAnsi="Arial"/>
          <w:sz w:val="22"/>
          <w:szCs w:val="22"/>
        </w:rPr>
        <w:t xml:space="preserve">Grant the restricted analyst role access based on sensitivity=public only.</w:t>
      </w:r>
    </w:p>
    <w:p>
      <w:pPr>
        <w:pStyle w:val="ListParagraph"/>
        <w:numPr>
          <w:ilvl w:val="0"/>
          <w:numId w:val="3"/>
        </w:numPr>
        <w:spacing w:after="100"/>
      </w:pPr>
      <w:r>
        <w:rPr>
          <w:rFonts w:ascii="Arial" w:cs="Arial" w:eastAsia="Arial" w:hAnsi="Arial"/>
          <w:sz w:val="22"/>
          <w:szCs w:val="22"/>
        </w:rPr>
        <w:t xml:space="preserve">Observe: if you add a new sensitive column later, you tag it and every role policy updates automatically — no table-by-table regranting.</w:t>
      </w:r>
    </w:p>
    <w:p>
      <w:pPr>
        <w:spacing w:after="160"/>
      </w:pPr>
      <w:r>
        <w:t xml:space="preserve"/>
      </w:r>
    </w:p>
    <w:tbl>
      <w:tblPr>
        <w:tblW w:type="dxa" w:w="9360"/>
        <w:tblBorders>
          <w:top w:val="single" w:color="2E5FA3" w:sz="1"/>
          <w:left w:val="single" w:color="2E5FA3" w:sz="1"/>
          <w:bottom w:val="single" w:color="2E5FA3" w:sz="1"/>
          <w:right w:val="single" w:color="2E5FA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pPr>
              <w:spacing w:after="60"/>
            </w:pPr>
            <w:r>
              <w:rPr>
                <w:rFonts w:ascii="Arial" w:cs="Arial" w:eastAsia="Arial" w:hAnsi="Arial"/>
                <w:b/>
                <w:bCs/>
                <w:color w:val="2E5FA3"/>
                <w:sz w:val="20"/>
                <w:szCs w:val="20"/>
              </w:rPr>
              <w:t xml:space="preserve">REFLECTION PROMPT</w:t>
            </w:r>
          </w:p>
          <w:p>
            <w:pPr>
              <w:spacing w:after="80"/>
            </w:pPr>
            <w:r>
              <w:rPr>
                <w:rFonts w:ascii="Arial" w:cs="Arial" w:eastAsia="Arial" w:hAnsi="Arial"/>
                <w:i/>
                <w:iCs/>
                <w:color w:val="1A1A1A"/>
                <w:sz w:val="20"/>
                <w:szCs w:val="20"/>
              </w:rPr>
              <w:t xml:space="preserve">Describe what you observed when querying as the restricted role. What does it mean for a column to be 'architecturally absent' versus simply hidden or redacted? Beyond grant review, give one other federal policy context where column-level governance would be required by law or regulation (consider HIPAA, FERPA, or Title 13 Census protections).</w:t>
            </w:r>
          </w:p>
          <w:p>
            <w:pPr>
              <w:spacing w:after="0"/>
            </w:pPr>
            <w:r>
              <w:rPr>
                <w:rFonts w:ascii="Arial" w:cs="Arial" w:eastAsia="Arial" w:hAnsi="Arial"/>
                <w:b/>
                <w:bCs/>
                <w:color w:val="595959"/>
                <w:sz w:val="20"/>
                <w:szCs w:val="20"/>
              </w:rPr>
              <w:t xml:space="preserve">Your response (1 paragraph):</w:t>
            </w:r>
          </w:p>
          <w:p>
            <w:pPr>
              <w:spacing w:after="0"/>
            </w:pPr>
            <w:r>
              <w:rPr>
                <w:sz w:val="60"/>
                <w:szCs w:val="60"/>
              </w:rPr>
              <w:t xml:space="preserve"> </w:t>
            </w:r>
          </w:p>
          <w:p>
            <w:pPr>
              <w:spacing w:after="0"/>
            </w:pPr>
            <w:r>
              <w:rPr>
                <w:sz w:val="60"/>
                <w:szCs w:val="60"/>
              </w:rPr>
              <w:t xml:space="preserve"> </w:t>
            </w:r>
          </w:p>
          <w:p>
            <w:pPr>
              <w:spacing w:after="0"/>
            </w:pPr>
            <w:r>
              <w:rPr>
                <w:sz w:val="60"/>
                <w:szCs w:val="60"/>
              </w:rPr>
              <w:t xml:space="preserve"> </w:t>
            </w:r>
          </w:p>
        </w:tc>
      </w:tr>
    </w:tbl>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9DC3E6"/>
                <w:sz w:val="26"/>
                <w:szCs w:val="26"/>
              </w:rPr>
              <w:t xml:space="preserve">Exercise 4: </w:t>
            </w:r>
            <w:r>
              <w:rPr>
                <w:rFonts w:ascii="Arial" w:cs="Arial" w:eastAsia="Arial" w:hAnsi="Arial"/>
                <w:b/>
                <w:bCs/>
                <w:color w:val="FFFFFF"/>
                <w:sz w:val="26"/>
                <w:szCs w:val="26"/>
              </w:rPr>
              <w:t xml:space="preserve">Snowflake Side-by-Side</w:t>
            </w:r>
          </w:p>
        </w:tc>
        <w:tc>
          <w:tcPr>
            <w:tcW w:type="dxa" w:w="2160"/>
            <w:tcBorders>
              <w:top w:val="none" w:color="FFFFFF" w:sz="0"/>
              <w:left w:val="none" w:color="FFFFFF" w:sz="0"/>
              <w:bottom w:val="none" w:color="FFFFFF" w:sz="0"/>
              <w:right w:val="none" w:color="FFFFFF" w:sz="0"/>
            </w:tcBorders>
            <w:shd w:fill="2E5FA3" w:val="clear"/>
            <w:tcMar>
              <w:top w:type="dxa" w:w="120"/>
              <w:left w:type="dxa" w:w="160"/>
              <w:bottom w:type="dxa" w:w="120"/>
              <w:right w:type="dxa" w:w="160"/>
            </w:tcMar>
          </w:tcPr>
          <w:p>
            <w:pPr>
              <w:spacing w:after="0"/>
              <w:jc w:val="center"/>
            </w:pPr>
            <w:r>
              <w:rPr>
                <w:rFonts w:ascii="Arial" w:cs="Arial" w:eastAsia="Arial" w:hAnsi="Arial"/>
                <w:b/>
                <w:bCs/>
                <w:color w:val="FFFFFF"/>
                <w:sz w:val="24"/>
                <w:szCs w:val="24"/>
              </w:rPr>
              <w:t xml:space="preserve">~15 minutes</w:t>
            </w:r>
          </w:p>
        </w:tc>
      </w:tr>
    </w:tbl>
    <w:p>
      <w:pPr>
        <w:spacing w:after="160"/>
      </w:pPr>
      <w:r>
        <w:t xml:space="preserve"/>
      </w:r>
    </w:p>
    <w:p>
      <w:pPr>
        <w:spacing w:after="120"/>
      </w:pPr>
      <w:r>
        <w:rPr>
          <w:rFonts w:ascii="Arial" w:cs="Arial" w:eastAsia="Arial" w:hAnsi="Arial"/>
          <w:b w:val="false"/>
          <w:bCs w:val="false"/>
          <w:i w:val="false"/>
          <w:iCs w:val="false"/>
          <w:color w:val="1A1A1A"/>
          <w:sz w:val="22"/>
          <w:szCs w:val="22"/>
        </w:rPr>
        <w:t xml:space="preserve">Log into your Week 5 Snowflake environment and run the same analytical query against the grant data you loaded there. The goal is to produce a concrete, evidence-based comparison — not a generic 'Redshift vs. Snowflake' opinion, but one grounded in what you just observed across three engines with the same data.</w:t>
      </w:r>
    </w:p>
    <w:p>
      <w:pPr>
        <w:spacing w:after="160"/>
      </w:pPr>
      <w:r>
        <w:t xml:space="preserve"/>
      </w:r>
    </w:p>
    <w:p>
      <w:pPr>
        <w:pStyle w:val="Heading3"/>
        <w:spacing w:before="200" w:after="100"/>
      </w:pPr>
      <w:r>
        <w:rPr>
          <w:rFonts w:ascii="Arial" w:cs="Arial" w:eastAsia="Arial" w:hAnsi="Arial"/>
          <w:b/>
          <w:bCs/>
          <w:color w:val="1F3864"/>
          <w:sz w:val="22"/>
          <w:szCs w:val="22"/>
        </w:rPr>
        <w:t xml:space="preserve">Step 1 — Run the Core Query in Snowflake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SELECT program_area,</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status,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COUNT(*)                    AS application_count,</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SUM(requested_amount)       AS total_requested,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AVG(requested_amount)::INT  AS avg_requested</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FROM   YOUR_DATABASE.YOUR_SCHEMA.grants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GROUP  BY program_area, status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ORDER  BY total_requested DESC;</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Note the execution time from the bottom bar of the Snowflake query editor.</w:t>
      </w:r>
    </w:p>
    <w:p>
      <w:pPr>
        <w:spacing w:after="160"/>
      </w:pPr>
      <w:r>
        <w:t xml:space="preserve"/>
      </w:r>
    </w:p>
    <w:p>
      <w:pPr>
        <w:pStyle w:val="Heading3"/>
        <w:spacing w:before="200" w:after="100"/>
      </w:pPr>
      <w:r>
        <w:rPr>
          <w:rFonts w:ascii="Arial" w:cs="Arial" w:eastAsia="Arial" w:hAnsi="Arial"/>
          <w:b/>
          <w:bCs/>
          <w:color w:val="1F3864"/>
          <w:sz w:val="22"/>
          <w:szCs w:val="22"/>
        </w:rPr>
        <w:t xml:space="preserve">Step 2 — Pull the Query Profile</w:t>
      </w:r>
    </w:p>
    <w:p>
      <w:pPr>
        <w:spacing w:after="120"/>
      </w:pPr>
      <w:r>
        <w:rPr>
          <w:rFonts w:ascii="Arial" w:cs="Arial" w:eastAsia="Arial" w:hAnsi="Arial"/>
          <w:b w:val="false"/>
          <w:bCs w:val="false"/>
          <w:i w:val="false"/>
          <w:iCs w:val="false"/>
          <w:color w:val="1A1A1A"/>
          <w:sz w:val="22"/>
          <w:szCs w:val="22"/>
        </w:rPr>
        <w:t xml:space="preserve">After the query completes, click the query ID in the history panel → Query Profile. This shows the operator tree graphically. Screenshot it alongside the Redshift EXPLAIN output from Exercise 2. The same query, three different execution plans.</w:t>
      </w:r>
    </w:p>
    <w:p>
      <w:pPr>
        <w:spacing w:after="160"/>
      </w:pPr>
      <w:r>
        <w:t xml:space="preserve"/>
      </w:r>
    </w:p>
    <w:p>
      <w:pPr>
        <w:pStyle w:val="Heading3"/>
        <w:spacing w:before="200" w:after="100"/>
      </w:pPr>
      <w:r>
        <w:rPr>
          <w:rFonts w:ascii="Arial" w:cs="Arial" w:eastAsia="Arial" w:hAnsi="Arial"/>
          <w:b/>
          <w:bCs/>
          <w:color w:val="1F3864"/>
          <w:sz w:val="22"/>
          <w:szCs w:val="22"/>
        </w:rPr>
        <w:t xml:space="preserve">Step 3 — Syntax Comparison</w:t>
      </w:r>
    </w:p>
    <w:p>
      <w:pPr>
        <w:spacing w:after="120"/>
      </w:pPr>
      <w:r>
        <w:rPr>
          <w:rFonts w:ascii="Arial" w:cs="Arial" w:eastAsia="Arial" w:hAnsi="Arial"/>
          <w:b w:val="false"/>
          <w:bCs w:val="false"/>
          <w:i w:val="false"/>
          <w:iCs w:val="false"/>
          <w:color w:val="1A1A1A"/>
          <w:sz w:val="22"/>
          <w:szCs w:val="22"/>
        </w:rPr>
        <w:t xml:space="preserve">Try one thing that differs between Redshift and Snowflake to make the difference concrete:</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Three-part naming: Redshift qualifies tables as glue_data.grants (schema.table). Snowflake uses database.schema.table. Write the same FROM clause both ways and note which fails where.</w:t>
      </w:r>
    </w:p>
    <w:p>
      <w:pPr>
        <w:pStyle w:val="ListParagraph"/>
        <w:numPr>
          <w:ilvl w:val="0"/>
          <w:numId w:val="2"/>
        </w:numPr>
        <w:spacing w:after="80"/>
      </w:pPr>
      <w:r>
        <w:rPr>
          <w:rFonts w:ascii="Arial" w:cs="Arial" w:eastAsia="Arial" w:hAnsi="Arial"/>
          <w:b w:val="false"/>
          <w:bCs w:val="false"/>
          <w:sz w:val="22"/>
          <w:szCs w:val="22"/>
        </w:rPr>
        <w:t xml:space="preserve">Type casting: In the query above, ::INT works in both. Try CAST(AVG(requested_amount) AS INTEGER) in both and confirm the syntax is portable.</w:t>
      </w:r>
    </w:p>
    <w:p>
      <w:pPr>
        <w:pStyle w:val="ListParagraph"/>
        <w:numPr>
          <w:ilvl w:val="0"/>
          <w:numId w:val="2"/>
        </w:numPr>
        <w:spacing w:after="80"/>
      </w:pPr>
      <w:r>
        <w:rPr>
          <w:rFonts w:ascii="Arial" w:cs="Arial" w:eastAsia="Arial" w:hAnsi="Arial"/>
          <w:b w:val="false"/>
          <w:bCs w:val="false"/>
          <w:sz w:val="22"/>
          <w:szCs w:val="22"/>
        </w:rPr>
        <w:t xml:space="preserve">Run SHOW TABLES in both environments and compare what metadata each engine exposes about your grant data.</w:t>
      </w:r>
    </w:p>
    <w:p>
      <w:pPr>
        <w:spacing w:after="160"/>
      </w:pPr>
      <w:r>
        <w:t xml:space="preserve"/>
      </w:r>
    </w:p>
    <w:p>
      <w:pPr>
        <w:pStyle w:val="Heading3"/>
        <w:spacing w:before="200" w:after="100"/>
      </w:pPr>
      <w:r>
        <w:rPr>
          <w:rFonts w:ascii="Arial" w:cs="Arial" w:eastAsia="Arial" w:hAnsi="Arial"/>
          <w:b/>
          <w:bCs/>
          <w:color w:val="1F3864"/>
          <w:sz w:val="22"/>
          <w:szCs w:val="22"/>
        </w:rPr>
        <w:t xml:space="preserve">Agency Recommendation Framework</w:t>
      </w:r>
    </w:p>
    <w:p>
      <w:pPr>
        <w:spacing w:after="120"/>
      </w:pPr>
      <w:r>
        <w:rPr>
          <w:rFonts w:ascii="Arial" w:cs="Arial" w:eastAsia="Arial" w:hAnsi="Arial"/>
          <w:b w:val="false"/>
          <w:bCs w:val="false"/>
          <w:i w:val="false"/>
          <w:iCs w:val="false"/>
          <w:color w:val="1A1A1A"/>
          <w:sz w:val="22"/>
          <w:szCs w:val="22"/>
        </w:rPr>
        <w:t xml:space="preserve">Use the Agency A/B/C framing from this week's lecture. For grant management platform scenarios specifically:</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3780"/>
        <w:gridCol w:w="3780"/>
      </w:tblGrid>
      <w:tr>
        <w:tc>
          <w:tcPr>
            <w:tcW w:type="dxa" w:w="1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Agency</w:t>
            </w:r>
          </w:p>
        </w:tc>
        <w:tc>
          <w:tcPr>
            <w:tcW w:type="dxa" w:w="378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Lean Redshift When...</w:t>
            </w:r>
          </w:p>
        </w:tc>
        <w:tc>
          <w:tcPr>
            <w:tcW w:type="dxa" w:w="378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Lean Snowflake When...</w:t>
            </w:r>
          </w:p>
        </w:tc>
      </w:tr>
      <w:tr>
        <w:tc>
          <w:tcPr>
            <w:tcW w:type="dxa" w:w="18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Agency A</w:t>
            </w:r>
          </w:p>
        </w:tc>
        <w:tc>
          <w:tcPr>
            <w:tcW w:type="dxa" w:w="37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Already deep in AWS — S3, Glue, Lake Formation governance layer already built. Redshift plugs into the existing catalog without duplication.</w:t>
            </w:r>
          </w:p>
        </w:tc>
        <w:tc>
          <w:tcPr>
            <w:tcW w:type="dxa" w:w="37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Needs to share grant portfolio data with state agencies or foundation partners who are on Azure or GCP — Snowflake's cross-cloud sharing is native.</w:t>
            </w:r>
          </w:p>
        </w:tc>
      </w:tr>
      <w:tr>
        <w:tc>
          <w:tcPr>
            <w:tcW w:type="dxa" w:w="1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Agency B</w:t>
            </w:r>
          </w:p>
        </w:tc>
        <w:tc>
          <w:tcPr>
            <w:tcW w:type="dxa" w:w="37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Has a large analytics team running continuous reports against the same S3 grant data. Redshift's concurrency and query plan optimization suits this.</w:t>
            </w:r>
          </w:p>
        </w:tc>
        <w:tc>
          <w:tcPr>
            <w:tcW w:type="dxa" w:w="37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Wants a fully managed warehouse with no AWS lock-in. Separate compute and storage scaling handles unpredictable review season spikes cleanly.</w:t>
            </w:r>
          </w:p>
        </w:tc>
      </w:tr>
      <w:tr>
        <w:tc>
          <w:tcPr>
            <w:tcW w:type="dxa" w:w="18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Agency C</w:t>
            </w:r>
          </w:p>
        </w:tc>
        <w:tc>
          <w:tcPr>
            <w:tcW w:type="dxa" w:w="37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Building an analytical layer on top of data already cataloged in Glue. Creating an external schema takes minutes and reuses existing metadata.</w:t>
            </w:r>
          </w:p>
        </w:tc>
        <w:tc>
          <w:tcPr>
            <w:tcW w:type="dxa" w:w="378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Operates across multiple regions or cloud providers and needs a single analytical platform. Snowflake's architecture makes multi-region transparent.</w:t>
            </w:r>
          </w:p>
        </w:tc>
      </w:tr>
    </w:tbl>
    <w:p>
      <w:pPr>
        <w:spacing w:after="160"/>
      </w:pPr>
      <w:r>
        <w:t xml:space="preserve"/>
      </w:r>
    </w:p>
    <w:tbl>
      <w:tblPr>
        <w:tblW w:type="dxa" w:w="9360"/>
        <w:tblBorders>
          <w:top w:val="single" w:color="2E5FA3" w:sz="1"/>
          <w:left w:val="single" w:color="2E5FA3" w:sz="1"/>
          <w:bottom w:val="single" w:color="2E5FA3" w:sz="1"/>
          <w:right w:val="single" w:color="2E5FA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pPr>
              <w:spacing w:after="60"/>
            </w:pPr>
            <w:r>
              <w:rPr>
                <w:rFonts w:ascii="Arial" w:cs="Arial" w:eastAsia="Arial" w:hAnsi="Arial"/>
                <w:b/>
                <w:bCs/>
                <w:color w:val="2E5FA3"/>
                <w:sz w:val="20"/>
                <w:szCs w:val="20"/>
              </w:rPr>
              <w:t xml:space="preserve">REFLECTION PROMPT</w:t>
            </w:r>
          </w:p>
          <w:p>
            <w:pPr>
              <w:spacing w:after="80"/>
            </w:pPr>
            <w:r>
              <w:rPr>
                <w:rFonts w:ascii="Arial" w:cs="Arial" w:eastAsia="Arial" w:hAnsi="Arial"/>
                <w:i/>
                <w:iCs/>
                <w:color w:val="1A1A1A"/>
                <w:sz w:val="20"/>
                <w:szCs w:val="20"/>
              </w:rPr>
              <w:t xml:space="preserve">Write three sentences: (1) I would recommend Redshift over Snowflake for [Agency] because... (2) I would recommend Snowflake for [Agency] because... (3) The deciding factors for a grant management analytics platform specifically are... Use evidence from your execution time observations and query profile screenshots.</w:t>
            </w:r>
          </w:p>
          <w:p>
            <w:pPr>
              <w:spacing w:after="0"/>
            </w:pPr>
            <w:r>
              <w:rPr>
                <w:rFonts w:ascii="Arial" w:cs="Arial" w:eastAsia="Arial" w:hAnsi="Arial"/>
                <w:b/>
                <w:bCs/>
                <w:color w:val="595959"/>
                <w:sz w:val="20"/>
                <w:szCs w:val="20"/>
              </w:rPr>
              <w:t xml:space="preserve">Your response (1 paragraph):</w:t>
            </w:r>
          </w:p>
          <w:p>
            <w:pPr>
              <w:spacing w:after="0"/>
            </w:pPr>
            <w:r>
              <w:rPr>
                <w:sz w:val="60"/>
                <w:szCs w:val="60"/>
              </w:rPr>
              <w:t xml:space="preserve"> </w:t>
            </w:r>
          </w:p>
          <w:p>
            <w:pPr>
              <w:spacing w:after="0"/>
            </w:pPr>
            <w:r>
              <w:rPr>
                <w:sz w:val="60"/>
                <w:szCs w:val="60"/>
              </w:rPr>
              <w:t xml:space="preserve"> </w:t>
            </w:r>
          </w:p>
          <w:p>
            <w:pPr>
              <w:spacing w:after="0"/>
            </w:pPr>
            <w:r>
              <w:rPr>
                <w:sz w:val="60"/>
                <w:szCs w:val="60"/>
              </w:rPr>
              <w:t xml:space="preserve"> </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9DC3E6"/>
                <w:sz w:val="26"/>
                <w:szCs w:val="26"/>
              </w:rPr>
              <w:t xml:space="preserve">Exercise 5: </w:t>
            </w:r>
            <w:r>
              <w:rPr>
                <w:rFonts w:ascii="Arial" w:cs="Arial" w:eastAsia="Arial" w:hAnsi="Arial"/>
                <w:b/>
                <w:bCs/>
                <w:color w:val="FFFFFF"/>
                <w:sz w:val="26"/>
                <w:szCs w:val="26"/>
              </w:rPr>
              <w:t xml:space="preserve">boto3 Programmatic Access</w:t>
            </w:r>
          </w:p>
        </w:tc>
        <w:tc>
          <w:tcPr>
            <w:tcW w:type="dxa" w:w="2160"/>
            <w:tcBorders>
              <w:top w:val="none" w:color="FFFFFF" w:sz="0"/>
              <w:left w:val="none" w:color="FFFFFF" w:sz="0"/>
              <w:bottom w:val="none" w:color="FFFFFF" w:sz="0"/>
              <w:right w:val="none" w:color="FFFFFF" w:sz="0"/>
            </w:tcBorders>
            <w:shd w:fill="2E5FA3" w:val="clear"/>
            <w:tcMar>
              <w:top w:type="dxa" w:w="120"/>
              <w:left w:type="dxa" w:w="160"/>
              <w:bottom w:type="dxa" w:w="120"/>
              <w:right w:type="dxa" w:w="160"/>
            </w:tcMar>
          </w:tcPr>
          <w:p>
            <w:pPr>
              <w:spacing w:after="0"/>
              <w:jc w:val="center"/>
            </w:pPr>
            <w:r>
              <w:rPr>
                <w:rFonts w:ascii="Arial" w:cs="Arial" w:eastAsia="Arial" w:hAnsi="Arial"/>
                <w:b/>
                <w:bCs/>
                <w:color w:val="FFFFFF"/>
                <w:sz w:val="24"/>
                <w:szCs w:val="24"/>
              </w:rPr>
              <w:t xml:space="preserve">~10 minutes</w:t>
            </w:r>
          </w:p>
        </w:tc>
      </w:tr>
    </w:tbl>
    <w:p>
      <w:pPr>
        <w:spacing w:after="160"/>
      </w:pPr>
      <w:r>
        <w:t xml:space="preserve"/>
      </w:r>
    </w:p>
    <w:p>
      <w:pPr>
        <w:spacing w:after="120"/>
      </w:pPr>
      <w:r>
        <w:rPr>
          <w:rFonts w:ascii="Arial" w:cs="Arial" w:eastAsia="Arial" w:hAnsi="Arial"/>
          <w:b w:val="false"/>
          <w:bCs w:val="false"/>
          <w:i w:val="false"/>
          <w:iCs w:val="false"/>
          <w:color w:val="1A1A1A"/>
          <w:sz w:val="22"/>
          <w:szCs w:val="22"/>
        </w:rPr>
        <w:t xml:space="preserve">Every action you performed in the console this week — creating the Redshift external schema, configuring Lake Formation, describing the RDS instance — is an API call. This exercise makes that concrete using boto3. Infrastructure-as-code tools like Terraform and AWS CDK call the same APIs under the hood; the console is a GUI wrapper on REST.</w:t>
      </w:r>
    </w:p>
    <w:p>
      <w:pPr>
        <w:spacing w:after="160"/>
      </w:pPr>
      <w:r>
        <w:t xml:space="preserve"/>
      </w:r>
    </w:p>
    <w:tbl>
      <w:tblPr>
        <w:tblW w:type="dxa" w:w="9360"/>
        <w:tblBorders>
          <w:top w:val="single" w:color="2E5FA3" w:sz="1"/>
          <w:left w:val="single" w:color="2E5FA3" w:sz="1"/>
          <w:bottom w:val="single" w:color="2E5FA3" w:sz="1"/>
          <w:right w:val="single" w:color="2E5FA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pPr>
              <w:spacing w:after="60"/>
            </w:pPr>
            <w:r>
              <w:rPr>
                <w:rFonts w:ascii="Arial" w:cs="Arial" w:eastAsia="Arial" w:hAnsi="Arial"/>
                <w:b/>
                <w:bCs/>
                <w:color w:val="2E5FA3"/>
                <w:sz w:val="20"/>
                <w:szCs w:val="20"/>
              </w:rPr>
              <w:t xml:space="preserve">ℹ NOTE</w:t>
            </w:r>
          </w:p>
          <w:p>
            <w:pPr>
              <w:spacing w:after="0"/>
            </w:pPr>
            <w:r>
              <w:rPr>
                <w:rFonts w:ascii="Arial" w:cs="Arial" w:eastAsia="Arial" w:hAnsi="Arial"/>
                <w:color w:val="1A1A1A"/>
                <w:sz w:val="20"/>
                <w:szCs w:val="20"/>
              </w:rPr>
              <w:t xml:space="preserve">Use starter code from the provided 04_boto3_starter.py file. boto3 is pre-installed in both CloudShell and SageMaker notebooks. Do not treat this as a debugging exercise — the starter code runs without modification once you update the placeholder values.</w:t>
            </w:r>
          </w:p>
        </w:tc>
      </w:tr>
    </w:tbl>
    <w:p>
      <w:pPr>
        <w:spacing w:after="160"/>
      </w:pPr>
      <w:r>
        <w:t xml:space="preserve"/>
      </w:r>
    </w:p>
    <w:p>
      <w:pPr>
        <w:pStyle w:val="Heading3"/>
        <w:spacing w:before="200" w:after="100"/>
      </w:pPr>
      <w:r>
        <w:rPr>
          <w:rFonts w:ascii="Arial" w:cs="Arial" w:eastAsia="Arial" w:hAnsi="Arial"/>
          <w:b/>
          <w:bCs/>
          <w:color w:val="1F3864"/>
          <w:sz w:val="22"/>
          <w:szCs w:val="22"/>
        </w:rPr>
        <w:t xml:space="preserve">Task 1 — Inspect the Glue Catalog Programmatically</w:t>
      </w:r>
    </w:p>
    <w:p>
      <w:pPr>
        <w:spacing w:after="120"/>
      </w:pPr>
      <w:r>
        <w:rPr>
          <w:rFonts w:ascii="Arial" w:cs="Arial" w:eastAsia="Arial" w:hAnsi="Arial"/>
          <w:b w:val="false"/>
          <w:bCs w:val="false"/>
          <w:i w:val="false"/>
          <w:iCs w:val="false"/>
          <w:color w:val="1A1A1A"/>
          <w:sz w:val="22"/>
          <w:szCs w:val="22"/>
        </w:rPr>
        <w:t xml:space="preserve">This replicates browsing to Glue → Databases → Tables in the console:</w:t>
      </w:r>
    </w:p>
    <w:p>
      <w:pPr>
        <w:spacing w:after="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import boto3</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glue = boto3.client('glue', region_name='us-east-1')</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List all databases — you should see ppol5206_lab</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for db in glue.get_databases()['DatabaseList']:</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print(f"  DB: {db['Name']}")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List tables in the Week 6 database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tables = glue.get_tables(DatabaseName='ppol5206_lab')['TableList']</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for table in tables: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cols = [c['Name'] for c in table['StorageDescriptor']['Columns']]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print(f"  Table: {table['Name']} -&gt; {cols}")</w:t>
            </w:r>
          </w:p>
        </w:tc>
      </w:tr>
    </w:tbl>
    <w:p>
      <w:pPr>
        <w:spacing w:after="80"/>
      </w:pPr>
      <w:r>
        <w:t xml:space="preserve"/>
      </w:r>
    </w:p>
    <w:p>
      <w:pPr>
        <w:spacing w:after="120"/>
      </w:pPr>
      <w:r>
        <w:rPr>
          <w:rFonts w:ascii="Arial" w:cs="Arial" w:eastAsia="Arial" w:hAnsi="Arial"/>
          <w:b w:val="false"/>
          <w:bCs w:val="false"/>
          <w:i w:val="false"/>
          <w:iCs w:val="false"/>
          <w:color w:val="1A1A1A"/>
          <w:sz w:val="22"/>
          <w:szCs w:val="22"/>
        </w:rPr>
        <w:t xml:space="preserve">You should see the grants and reviewers tables from Week 6, plus any applications tables from Part 2. Note that the S3 location and column types are returned in the same response — this is what the Athena query engine reads before executing any query.</w:t>
      </w:r>
    </w:p>
    <w:p>
      <w:pPr>
        <w:spacing w:after="160"/>
      </w:pPr>
      <w:r>
        <w:t xml:space="preserve"/>
      </w:r>
    </w:p>
    <w:p>
      <w:pPr>
        <w:pStyle w:val="Heading3"/>
        <w:spacing w:before="200" w:after="100"/>
      </w:pPr>
      <w:r>
        <w:rPr>
          <w:rFonts w:ascii="Arial" w:cs="Arial" w:eastAsia="Arial" w:hAnsi="Arial"/>
          <w:b/>
          <w:bCs/>
          <w:color w:val="1F3864"/>
          <w:sz w:val="22"/>
          <w:szCs w:val="22"/>
        </w:rPr>
        <w:t xml:space="preserve">Task 2 — Describe the RDS Instance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rds = boto3.client('rds', region_name='us-east-1')</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inst = rds.describe_db_instances(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DBInstanceIdentifier='ppol5206-transactional'</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)['DBInstances'][0]</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print(f"Engine:        {inst['Engine']} {inst['EngineVersion']}")</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print(f"Instance class:{inst['DBInstanceClass']}")</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print(f"Storage:       {inst['AllocatedStorage']} GB ({inst['StorageType']})")</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print(f"Endpoint:      {inst['Endpoint']['Address']}:{inst['Endpoint']['Port']}")</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print(f"Multi-AZ:      {inst['MultiAZ']}")</w:t>
            </w:r>
          </w:p>
        </w:tc>
      </w:tr>
      <w:tr>
        <w:tc>
          <w:tcPr>
            <w:tcW w:type="dxa" w:w="936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before="0" w:after="0" w:line="240"/>
            </w:pPr>
            <w:r>
              <w:rPr>
                <w:rFonts w:ascii="Courier New" w:cs="Courier New" w:eastAsia="Courier New" w:hAnsi="Courier New"/>
                <w:color w:val="1A1A1A"/>
                <w:sz w:val="18"/>
                <w:szCs w:val="18"/>
              </w:rPr>
              <w:t xml:space="preserve">print(f"Public:        {inst['PubliclyAccessible']}")</w:t>
            </w:r>
          </w:p>
        </w:tc>
      </w:tr>
    </w:tbl>
    <w:p>
      <w:pPr>
        <w:spacing w:after="160"/>
      </w:pPr>
      <w:r>
        <w:t xml:space="preserve"/>
      </w:r>
    </w:p>
    <w:p>
      <w:pPr>
        <w:pStyle w:val="Heading3"/>
        <w:spacing w:before="200" w:after="100"/>
      </w:pPr>
      <w:r>
        <w:rPr>
          <w:rFonts w:ascii="Arial" w:cs="Arial" w:eastAsia="Arial" w:hAnsi="Arial"/>
          <w:b/>
          <w:bCs/>
          <w:color w:val="1F3864"/>
          <w:sz w:val="22"/>
          <w:szCs w:val="22"/>
        </w:rPr>
        <w:t xml:space="preserve">Exploration Challenge — Pick One</w:t>
      </w:r>
    </w:p>
    <w:p>
      <w:pPr>
        <w:pStyle w:val="ListParagraph"/>
        <w:numPr>
          <w:ilvl w:val="0"/>
          <w:numId w:val="2"/>
        </w:numPr>
        <w:spacing w:after="80"/>
      </w:pPr>
      <w:r>
        <w:rPr>
          <w:rFonts w:ascii="Arial" w:cs="Arial" w:eastAsia="Arial" w:hAnsi="Arial"/>
          <w:b w:val="false"/>
          <w:bCs w:val="false"/>
          <w:sz w:val="22"/>
          <w:szCs w:val="22"/>
        </w:rPr>
        <w:t xml:space="preserve">lakeformation.list_permissions() — see the grants you observed in Exercise 3 as a structured API response. You will see the column-level restriction on the grants table returned as a JSON object showing exactly which columns the restricted role can access.</w:t>
      </w:r>
    </w:p>
    <w:p>
      <w:pPr>
        <w:pStyle w:val="ListParagraph"/>
        <w:numPr>
          <w:ilvl w:val="0"/>
          <w:numId w:val="2"/>
        </w:numPr>
        <w:spacing w:after="80"/>
      </w:pPr>
      <w:r>
        <w:rPr>
          <w:rFonts w:ascii="Arial" w:cs="Arial" w:eastAsia="Arial" w:hAnsi="Arial"/>
          <w:b w:val="false"/>
          <w:bCs w:val="false"/>
          <w:sz w:val="22"/>
          <w:szCs w:val="22"/>
        </w:rPr>
        <w:t xml:space="preserve">redshift-serverless.list_workgroups() — describe the ppol5206-analytics workgroup you used in Exercise 2. Note the RPU capacity and endpoint address.</w:t>
      </w:r>
    </w:p>
    <w:p>
      <w:pPr>
        <w:spacing w:after="160"/>
      </w:pPr>
      <w:r>
        <w:t xml:space="preserve"/>
      </w:r>
    </w:p>
    <w:tbl>
      <w:tblPr>
        <w:tblW w:type="dxa" w:w="9360"/>
        <w:tblBorders>
          <w:top w:val="single" w:color="2E5FA3" w:sz="1"/>
          <w:left w:val="single" w:color="2E5FA3" w:sz="1"/>
          <w:bottom w:val="single" w:color="2E5FA3" w:sz="1"/>
          <w:right w:val="single" w:color="2E5FA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pPr>
              <w:spacing w:after="60"/>
            </w:pPr>
            <w:r>
              <w:rPr>
                <w:rFonts w:ascii="Arial" w:cs="Arial" w:eastAsia="Arial" w:hAnsi="Arial"/>
                <w:b/>
                <w:bCs/>
                <w:color w:val="2E5FA3"/>
                <w:sz w:val="20"/>
                <w:szCs w:val="20"/>
              </w:rPr>
              <w:t xml:space="preserve">REFLECTION PROMPT</w:t>
            </w:r>
          </w:p>
          <w:p>
            <w:pPr>
              <w:spacing w:after="80"/>
            </w:pPr>
            <w:r>
              <w:rPr>
                <w:rFonts w:ascii="Arial" w:cs="Arial" w:eastAsia="Arial" w:hAnsi="Arial"/>
                <w:i/>
                <w:iCs/>
                <w:color w:val="1A1A1A"/>
                <w:sz w:val="20"/>
                <w:szCs w:val="20"/>
              </w:rPr>
              <w:t xml:space="preserve">Paste the output of your RDS describe call here. Then write two sentences: what would change in this output if this were a production Multi-AZ instance, and why would that matter for a grant management system processing end-of-fiscal-year submission spikes?</w:t>
            </w:r>
          </w:p>
          <w:p>
            <w:pPr>
              <w:spacing w:after="0"/>
            </w:pPr>
            <w:r>
              <w:rPr>
                <w:rFonts w:ascii="Arial" w:cs="Arial" w:eastAsia="Arial" w:hAnsi="Arial"/>
                <w:b/>
                <w:bCs/>
                <w:color w:val="595959"/>
                <w:sz w:val="20"/>
                <w:szCs w:val="20"/>
              </w:rPr>
              <w:t xml:space="preserve">Your response (1 paragraph):</w:t>
            </w:r>
          </w:p>
          <w:p>
            <w:pPr>
              <w:spacing w:after="0"/>
            </w:pPr>
            <w:r>
              <w:rPr>
                <w:sz w:val="60"/>
                <w:szCs w:val="60"/>
              </w:rPr>
              <w:t xml:space="preserve"> </w:t>
            </w:r>
          </w:p>
          <w:p>
            <w:pPr>
              <w:spacing w:after="0"/>
            </w:pPr>
            <w:r>
              <w:rPr>
                <w:sz w:val="60"/>
                <w:szCs w:val="60"/>
              </w:rPr>
              <w:t xml:space="preserve"> </w:t>
            </w:r>
          </w:p>
          <w:p>
            <w:pPr>
              <w:spacing w:after="0"/>
            </w:pPr>
            <w:r>
              <w:rPr>
                <w:sz w:val="60"/>
                <w:szCs w:val="60"/>
              </w:rPr>
              <w:t xml:space="preserve"> </w:t>
            </w:r>
          </w:p>
        </w:tc>
      </w:tr>
    </w:tbl>
    <w:p>
      <w:pPr>
        <w:spacing w:after="240"/>
      </w:pPr>
      <w:r>
        <w:t xml:space="preserve"/>
      </w:r>
    </w:p>
    <w:p>
      <w:r>
        <w:br w:type="page"/>
      </w:r>
    </w:p>
    <w:p>
      <w:pPr>
        <w:pStyle w:val="Heading1"/>
        <w:pBdr>
          <w:bottom w:val="single" w:color="2E5FA3" w:sz="6" w:space="4"/>
        </w:pBdr>
        <w:spacing w:before="360" w:after="160"/>
      </w:pPr>
      <w:r>
        <w:rPr>
          <w:rFonts w:ascii="Arial" w:cs="Arial" w:eastAsia="Arial" w:hAnsi="Arial"/>
          <w:b/>
          <w:bCs/>
          <w:color w:val="1F3864"/>
          <w:sz w:val="32"/>
          <w:szCs w:val="32"/>
        </w:rPr>
        <w:t xml:space="preserve">Final Synthesis Question</w:t>
      </w:r>
    </w:p>
    <w:p>
      <w:pPr>
        <w:spacing w:after="120"/>
      </w:pPr>
      <w:r>
        <w:rPr>
          <w:rFonts w:ascii="Arial" w:cs="Arial" w:eastAsia="Arial" w:hAnsi="Arial"/>
          <w:b w:val="false"/>
          <w:bCs w:val="false"/>
          <w:i w:val="false"/>
          <w:iCs w:val="false"/>
          <w:color w:val="1A1A1A"/>
          <w:sz w:val="22"/>
          <w:szCs w:val="22"/>
        </w:rPr>
        <w:t xml:space="preserve">Answer in 200–300 words. This question ties all five exercises and both weeks of lab together.</w:t>
      </w:r>
    </w:p>
    <w:p>
      <w:pPr>
        <w:spacing w:after="160"/>
      </w:pPr>
      <w:r>
        <w:t xml:space="preserve"/>
      </w:r>
    </w:p>
    <w:tbl>
      <w:tblPr>
        <w:tblW w:type="dxa" w:w="9360"/>
        <w:tblBorders>
          <w:top w:val="single" w:color="1F3864" w:sz="1"/>
          <w:left w:val="single" w:color="1F3864" w:sz="1"/>
          <w:bottom w:val="single" w:color="1F3864" w:sz="1"/>
          <w:right w:val="single" w:color="1F386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00"/>
              <w:bottom w:type="dxa" w:w="160"/>
              <w:right w:type="dxa" w:w="200"/>
            </w:tcMar>
          </w:tcPr>
          <w:p>
            <w:pPr>
              <w:spacing w:after="120"/>
            </w:pPr>
            <w:r>
              <w:rPr>
                <w:rFonts w:ascii="Arial" w:cs="Arial" w:eastAsia="Arial" w:hAnsi="Arial"/>
                <w:b/>
                <w:bCs/>
                <w:color w:val="1F3864"/>
                <w:sz w:val="24"/>
                <w:szCs w:val="24"/>
              </w:rPr>
              <w:t xml:space="preserve">The Scenario</w:t>
            </w:r>
          </w:p>
          <w:p>
            <w:pPr>
              <w:spacing w:after="120"/>
            </w:pPr>
            <w:r>
              <w:rPr>
                <w:rFonts w:ascii="Arial" w:cs="Arial" w:eastAsia="Arial" w:hAnsi="Arial"/>
                <w:sz w:val="22"/>
                <w:szCs w:val="22"/>
              </w:rPr>
              <w:t xml:space="preserve">A federal grant-making agency currently stores all grant applications as CSV files in S3 (exactly as you did in Week 6). Their data team has cataloged the data in Glue and runs ad hoc queries in Athena. Now they face three new requirements:</w:t>
            </w:r>
          </w:p>
          <w:p>
            <w:pPr>
              <w:pStyle w:val="ListParagraph"/>
              <w:numPr>
                <w:ilvl w:val="0"/>
                <w:numId w:val="2"/>
              </w:numPr>
              <w:spacing w:after="80"/>
            </w:pPr>
            <w:r>
              <w:rPr>
                <w:rFonts w:ascii="Arial" w:cs="Arial" w:eastAsia="Arial" w:hAnsi="Arial"/>
                <w:b w:val="false"/>
                <w:bCs w:val="false"/>
                <w:sz w:val="22"/>
                <w:szCs w:val="22"/>
              </w:rPr>
              <w:t xml:space="preserve">A grants management system where program officers update application statuses in real time as decisions are made</w:t>
            </w:r>
          </w:p>
          <w:p>
            <w:pPr>
              <w:pStyle w:val="ListParagraph"/>
              <w:numPr>
                <w:ilvl w:val="0"/>
                <w:numId w:val="2"/>
              </w:numPr>
              <w:spacing w:after="80"/>
            </w:pPr>
            <w:r>
              <w:rPr>
                <w:rFonts w:ascii="Arial" w:cs="Arial" w:eastAsia="Arial" w:hAnsi="Arial"/>
                <w:b w:val="false"/>
                <w:bCs w:val="false"/>
                <w:sz w:val="22"/>
                <w:szCs w:val="22"/>
              </w:rPr>
              <w:t xml:space="preserve">A quarterly dashboard used by 25 analysts simultaneously, refreshing every 10 minutes, showing portfolio-level summaries</w:t>
            </w:r>
          </w:p>
          <w:p>
            <w:pPr>
              <w:pStyle w:val="ListParagraph"/>
              <w:numPr>
                <w:ilvl w:val="0"/>
                <w:numId w:val="2"/>
              </w:numPr>
              <w:spacing w:after="80"/>
            </w:pPr>
            <w:r>
              <w:rPr>
                <w:rFonts w:ascii="Arial" w:cs="Arial" w:eastAsia="Arial" w:hAnsi="Arial"/>
                <w:b w:val="false"/>
                <w:bCs w:val="false"/>
                <w:sz w:val="22"/>
                <w:szCs w:val="22"/>
              </w:rPr>
              <w:t xml:space="preserve">A compliance requirement that blind reviewers cannot see requested funding amounts or organization names during the scoring phase</w:t>
            </w:r>
          </w:p>
          <w:p>
            <w:pPr>
              <w:spacing w:after="100"/>
            </w:pPr>
            <w:r>
              <w:t xml:space="preserve"/>
            </w:r>
          </w:p>
          <w:p>
            <w:pPr>
              <w:spacing w:after="0"/>
            </w:pPr>
            <w:r>
              <w:rPr>
                <w:rFonts w:ascii="Arial" w:cs="Arial" w:eastAsia="Arial" w:hAnsi="Arial"/>
                <w:b/>
                <w:bCs/>
                <w:sz w:val="22"/>
                <w:szCs w:val="22"/>
              </w:rPr>
              <w:t xml:space="preserve">Sketch the architecture you would recommend. Which services from this week address which requirement? What from Week 6 do you keep as-is? Justify each choice using specific observations from the lab.</w:t>
            </w:r>
          </w:p>
        </w:tc>
      </w:tr>
    </w:tbl>
    <w:p>
      <w:pPr>
        <w:spacing w:after="160"/>
      </w:pPr>
      <w:r>
        <w:t xml:space="preserve"/>
      </w:r>
    </w:p>
    <w:p>
      <w:pPr>
        <w:spacing w:before="0" w:after="0"/>
      </w:pPr>
      <w:r>
        <w:rPr>
          <w:rFonts w:ascii="Arial" w:cs="Arial" w:eastAsia="Arial" w:hAnsi="Arial"/>
          <w:b/>
          <w:bCs/>
          <w:color w:val="595959"/>
          <w:sz w:val="22"/>
          <w:szCs w:val="22"/>
        </w:rPr>
        <w:t xml:space="preserve">Your response:</w:t>
      </w:r>
    </w:p>
    <w:p>
      <w:pPr>
        <w:spacing w:after="0"/>
      </w:pPr>
      <w:r>
        <w:rPr>
          <w:sz w:val="48"/>
          <w:szCs w:val="48"/>
        </w:rPr>
        <w:t xml:space="preserve"> </w:t>
      </w:r>
    </w:p>
    <w:p>
      <w:pPr>
        <w:spacing w:after="0"/>
      </w:pPr>
      <w:r>
        <w:rPr>
          <w:sz w:val="48"/>
          <w:szCs w:val="48"/>
        </w:rPr>
        <w:t xml:space="preserve"> </w:t>
      </w:r>
    </w:p>
    <w:p>
      <w:pPr>
        <w:spacing w:after="0"/>
      </w:pPr>
      <w:r>
        <w:rPr>
          <w:sz w:val="48"/>
          <w:szCs w:val="48"/>
        </w:rPr>
        <w:t xml:space="preserve"> </w:t>
      </w:r>
    </w:p>
    <w:p>
      <w:pPr>
        <w:spacing w:after="0"/>
      </w:pPr>
      <w:r>
        <w:rPr>
          <w:sz w:val="48"/>
          <w:szCs w:val="48"/>
        </w:rPr>
        <w:t xml:space="preserve"> </w:t>
      </w:r>
    </w:p>
    <w:p>
      <w:pPr>
        <w:spacing w:after="0"/>
      </w:pPr>
      <w:r>
        <w:rPr>
          <w:sz w:val="48"/>
          <w:szCs w:val="48"/>
        </w:rPr>
        <w:t xml:space="preserve"> </w:t>
      </w:r>
    </w:p>
    <w:p>
      <w:pPr>
        <w:spacing w:after="0"/>
      </w:pPr>
      <w:r>
        <w:rPr>
          <w:sz w:val="48"/>
          <w:szCs w:val="48"/>
        </w:rPr>
        <w:t xml:space="preserve"> </w:t>
      </w:r>
    </w:p>
    <w:p>
      <w:pPr>
        <w:spacing w:after="0"/>
      </w:pPr>
      <w:r>
        <w:rPr>
          <w:sz w:val="48"/>
          <w:szCs w:val="48"/>
        </w:rPr>
        <w:t xml:space="preserve"> </w:t>
      </w:r>
    </w:p>
    <w:p>
      <w:pPr>
        <w:spacing w:after="0"/>
      </w:pPr>
      <w:r>
        <w:rPr>
          <w:sz w:val="48"/>
          <w:szCs w:val="48"/>
        </w:rPr>
        <w:t xml:space="preserve"> </w:t>
      </w:r>
    </w:p>
    <w:p>
      <w:pPr>
        <w:spacing w:after="0"/>
      </w:pPr>
      <w:r>
        <w:rPr>
          <w:sz w:val="48"/>
          <w:szCs w:val="48"/>
        </w:rPr>
        <w:t xml:space="preserve"> </w:t>
      </w:r>
    </w:p>
    <w:p>
      <w:pPr>
        <w:spacing w:after="240"/>
      </w:pPr>
      <w:r>
        <w:t xml:space="preserve"/>
      </w:r>
    </w:p>
    <w:p>
      <w:pPr>
        <w:pStyle w:val="Heading1"/>
        <w:pBdr>
          <w:bottom w:val="single" w:color="2E5FA3" w:sz="6" w:space="4"/>
        </w:pBdr>
        <w:spacing w:before="360" w:after="160"/>
      </w:pPr>
      <w:r>
        <w:rPr>
          <w:rFonts w:ascii="Arial" w:cs="Arial" w:eastAsia="Arial" w:hAnsi="Arial"/>
          <w:b/>
          <w:bCs/>
          <w:color w:val="1F3864"/>
          <w:sz w:val="32"/>
          <w:szCs w:val="32"/>
        </w:rPr>
        <w:t xml:space="preserve">Instructor Notes: Common Failure Points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Point</w:t>
            </w:r>
          </w:p>
        </w:tc>
        <w:tc>
          <w:tcPr>
            <w:tcW w:type="dxa" w:w="6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to Do</w:t>
            </w:r>
          </w:p>
        </w:tc>
      </w:tr>
      <w:tr>
        <w:tc>
          <w:tcPr>
            <w:tcW w:type="dxa" w:w="300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pPr>
              <w:spacing w:after="0"/>
            </w:pPr>
            <w:r>
              <w:rPr>
                <w:rFonts w:ascii="Arial" w:cs="Arial" w:eastAsia="Arial" w:hAnsi="Arial"/>
                <w:b/>
                <w:bCs/>
                <w:sz w:val="20"/>
                <w:szCs w:val="20"/>
              </w:rPr>
              <w:t xml:space="preserve">LF breaks Athena after enabling</w:t>
            </w:r>
          </w:p>
        </w:tc>
        <w:tc>
          <w:tcPr>
            <w:tcW w:type="dxa" w:w="636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pPr>
              <w:spacing w:after="0"/>
            </w:pPr>
            <w:r>
              <w:rPr>
                <w:rFonts w:ascii="Arial" w:cs="Arial" w:eastAsia="Arial" w:hAnsi="Arial"/>
                <w:sz w:val="20"/>
                <w:szCs w:val="20"/>
              </w:rPr>
              <w:t xml:space="preserve">Test Athena against grants table after enabling LF before class. If Access Denied, verify s3://ppol5206-[initials]-lab/raw/ is registered as a data lake location and the student role is a LF data lake admin.</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Redshift can't see grants table</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Verify glue_data external schema was created with the correct IAM role and that the role has glue:GetDatabase + glue:GetTable on ppol5206_lab specifically. Run SELECT COUNT(*) FROM glue_data.grants as a smoke test.</w:t>
            </w:r>
          </w:p>
        </w:tc>
      </w:tr>
      <w:tr>
        <w:tc>
          <w:tcPr>
            <w:tcW w:type="dxa" w:w="300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pPr>
              <w:spacing w:after="0"/>
            </w:pPr>
            <w:r>
              <w:rPr>
                <w:rFonts w:ascii="Arial" w:cs="Arial" w:eastAsia="Arial" w:hAnsi="Arial"/>
                <w:b/>
                <w:bCs/>
                <w:sz w:val="20"/>
                <w:szCs w:val="20"/>
              </w:rPr>
              <w:t xml:space="preserve">Redshift Serverless cold start</w:t>
            </w:r>
          </w:p>
        </w:tc>
        <w:tc>
          <w:tcPr>
            <w:tcW w:type="dxa" w:w="636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pPr>
              <w:spacing w:after="0"/>
            </w:pPr>
            <w:r>
              <w:rPr>
                <w:rFonts w:ascii="Arial" w:cs="Arial" w:eastAsia="Arial" w:hAnsi="Arial"/>
                <w:sz w:val="20"/>
                <w:szCs w:val="20"/>
              </w:rPr>
              <w:t xml:space="preserve">First query after idle period takes 2–3 minutes. Run a warm-up query yourself before class and warn students in the lab doc.</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Role assumption fails in Exercise 3</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Almost always a typo in the trust policy ARN or the inline policy Resource ARN. Double-check both reference the correct account ID and exact role name ppol5206-restricted-analyst.</w:t>
            </w:r>
          </w:p>
        </w:tc>
      </w:tr>
      <w:tr>
        <w:tc>
          <w:tcPr>
            <w:tcW w:type="dxa" w:w="300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pPr>
              <w:spacing w:after="0"/>
            </w:pPr>
            <w:r>
              <w:rPr>
                <w:rFonts w:ascii="Arial" w:cs="Arial" w:eastAsia="Arial" w:hAnsi="Arial"/>
                <w:b/>
                <w:bCs/>
                <w:sz w:val="20"/>
                <w:szCs w:val="20"/>
              </w:rPr>
              <w:t xml:space="preserve">Athena INSERT 'succeeds' unexpectedly</w:t>
            </w:r>
          </w:p>
        </w:tc>
        <w:tc>
          <w:tcPr>
            <w:tcW w:type="dxa" w:w="636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pPr>
              <w:spacing w:after="0"/>
            </w:pPr>
            <w:r>
              <w:rPr>
                <w:rFonts w:ascii="Arial" w:cs="Arial" w:eastAsia="Arial" w:hAnsi="Arial"/>
                <w:sz w:val="20"/>
                <w:szCs w:val="20"/>
              </w:rPr>
              <w:t xml:space="preserve">If students see a success message on the INSERT into grants, show them the S3 console — a new file fragment appeared in raw/grants/ rather than a row being updated. Use this as a teaching moment about what Athena's INSERT actually does.</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Week 6 data was cleaned up</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If a student deleted their S3 bucket or Glue tables during Week 6 cleanup, they need to re-upload grant_applications.csv and re-run the Glue crawler before starting Exercise 2. This takes about 15 minutes.</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100" w:after="0"/>
    </w:pPr>
    <w:r>
      <w:rPr>
        <w:rFonts w:ascii="Arial" w:cs="Arial" w:eastAsia="Arial" w:hAnsi="Arial"/>
        <w:color w:val="595959"/>
        <w:sz w:val="18"/>
        <w:szCs w:val="18"/>
      </w:rPr>
      <w:t xml:space="preserve">PPOL 5206 — Week 7 Lab</w:t>
    </w:r>
    <w:r>
      <w:rPr>
        <w:rFonts w:ascii="Arial" w:cs="Arial" w:eastAsia="Arial" w:hAnsi="Arial"/>
        <w:color w:val="595959"/>
        <w:sz w:val="18"/>
        <w:szCs w:val="18"/>
      </w:rPr>
      <w:t xml:space="preserve">	Spring 2026 • Georgetown McCourt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2026-02-19T03:25:22.022Z</dcterms:created>
  <dcterms:modified xsi:type="dcterms:W3CDTF">2026-02-19T03:25:22.023Z</dcterms:modified>
</cp:coreProperties>
</file>

<file path=docProps/custom.xml><?xml version="1.0" encoding="utf-8"?>
<Properties xmlns="http://schemas.openxmlformats.org/officeDocument/2006/custom-properties" xmlns:vt="http://schemas.openxmlformats.org/officeDocument/2006/docPropsVTypes"/>
</file>