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440" w:after="100"/>
      </w:pPr>
      <w:r>
        <w:rPr>
          <w:rFonts w:ascii="Calibri" w:hAnsi="Calibri"/>
          <w:b/>
          <w:color w:val="2E74B5"/>
          <w:sz w:val="20"/>
        </w:rPr>
        <w:t>TECHNICAL DESIGN PROPOSAL  |  REVISION 2</w:t>
      </w:r>
    </w:p>
    <w:p>
      <w:pPr>
        <w:pStyle w:val="Title"/>
        <w:keepNext/>
        <w:widowControl/>
      </w:pPr>
      <w:r>
        <w:rPr>
          <w:rFonts w:ascii="Calibri" w:hAnsi="Calibri"/>
          <w:b/>
          <w:color w:val="17365D"/>
          <w:sz w:val="60"/>
        </w:rPr>
        <w:t>GatekeeperDemo</w:t>
      </w:r>
    </w:p>
    <w:p>
      <w:pPr>
        <w:pStyle w:val="Subtitle"/>
        <w:widowControl/>
      </w:pPr>
      <w:r>
        <w:rPr>
          <w:rFonts w:ascii="Calibri" w:hAnsi="Calibri"/>
          <w:color w:val="5F6B7A"/>
          <w:sz w:val="29"/>
        </w:rPr>
        <w:t>An audience-first, evidence-backed Avalonia experience for the PartnerDesk security story</w:t>
      </w:r>
    </w:p>
    <w:p>
      <w:pPr>
        <w:spacing w:before="160" w:after="360"/>
        <w:widowControl/>
        <w:pBdr>
          <w:bottom w:val="single" w:sz="18" w:space="8" w:color="2E74B5"/>
        </w:pBdr>
      </w:pPr>
      <w:r>
        <w:rPr>
          <w:rFonts w:ascii="Calibri" w:hAnsi="Calibri"/>
          <w:color w:val="5F6B7A"/>
          <w:sz w:val="21"/>
        </w:rPr>
        <w:t>Revised after UX, security, architecture, and delivery review  |  25 August 2026</w:t>
      </w:r>
    </w:p>
    <w:p>
      <w:pPr>
        <w:keepLines/>
        <w:spacing w:before="120" w:after="200" w:line="283" w:lineRule="auto"/>
        <w:ind w:left="173" w:right="115"/>
        <w:shd w:fill="E7F6ED" w:val="clear"/>
        <w:widowControl/>
        <w:pBdr>
          <w:left w:val="single" w:sz="28" w:space="8" w:color="167245"/>
        </w:pBdr>
      </w:pPr>
      <w:r>
        <w:rPr>
          <w:rFonts w:ascii="Calibri" w:hAnsi="Calibri"/>
          <w:b/>
          <w:color w:val="167245"/>
          <w:sz w:val="20"/>
        </w:rPr>
        <w:t xml:space="preserve">REVISED RECOMMENDATION  </w:t>
      </w:r>
      <w:r>
        <w:rPr>
          <w:rFonts w:ascii="Calibri" w:hAnsi="Calibri"/>
          <w:color w:val="1B2638"/>
          <w:sz w:val="21"/>
        </w:rPr>
        <w:t>Approve a Windows-first deterministic stage MVP. Import and prove the pinned PartnerDesk baseline, add semantic recording that cannot affect the run, and ship one Live Demo workspace that tells the four canonical phases plus a one-click without/with Gatekeeper comparison. Defer live-provider claims, true execution stepping, repeated-run charts, and cross-platform packaging until the core story is rehearsable.</w:t>
      </w:r>
    </w:p>
    <w:p>
      <w:pPr>
        <w:pStyle w:val="Heading2"/>
        <w:keepNext/>
        <w:widowControl/>
      </w:pPr>
      <w:r>
        <w:t>What changed in this revision</w:t>
      </w:r>
    </w:p>
    <w:p>
      <w:pPr>
        <w:pStyle w:val="ListBullet"/>
        <w:keepLines/>
        <w:widowControl/>
        <w:spacing w:after="80" w:line="290" w:lineRule="auto"/>
        <w:ind w:left="540" w:hanging="279"/>
      </w:pPr>
      <w:r>
        <w:rPr>
          <w:rFonts w:ascii="Calibri" w:hAnsi="Calibri"/>
          <w:color w:val="1B2638"/>
          <w:sz w:val="22"/>
        </w:rPr>
        <w:t>Story first, debug on demand: a turn-grouped Security Timeline is primary; raw logs and exceptions move to a correlated Debug view.</w:t>
      </w:r>
    </w:p>
    <w:p>
      <w:pPr>
        <w:pStyle w:val="ListBullet"/>
        <w:keepLines/>
        <w:widowControl/>
        <w:spacing w:after="80" w:line="290" w:lineRule="auto"/>
        <w:ind w:left="540" w:hanging="279"/>
      </w:pPr>
      <w:r>
        <w:rPr>
          <w:rFonts w:ascii="Calibri" w:hAnsi="Calibri"/>
          <w:color w:val="1B2638"/>
          <w:sz w:val="22"/>
        </w:rPr>
        <w:t>The diagram now shows request and response direction, the model-provider boundary, protections inline with their destinations, and containment as an operator action.</w:t>
      </w:r>
    </w:p>
    <w:p>
      <w:pPr>
        <w:pStyle w:val="ListBullet"/>
        <w:keepLines/>
        <w:widowControl/>
        <w:spacing w:after="80" w:line="290" w:lineRule="auto"/>
        <w:ind w:left="540" w:hanging="279"/>
      </w:pPr>
      <w:r>
        <w:rPr>
          <w:rFonts w:ascii="Calibri" w:hAnsi="Calibri"/>
          <w:color w:val="1B2638"/>
          <w:sz w:val="22"/>
        </w:rPr>
        <w:t>Deterministic without/with Gatekeeper comparison is part of the stage MVP; repeated statistical evaluation is a later workspace.</w:t>
      </w:r>
    </w:p>
    <w:p>
      <w:pPr>
        <w:pStyle w:val="ListBullet"/>
        <w:keepLines/>
        <w:widowControl/>
        <w:spacing w:after="80" w:line="290" w:lineRule="auto"/>
        <w:ind w:left="540" w:hanging="279"/>
      </w:pPr>
      <w:r>
        <w:rPr>
          <w:rFonts w:ascii="Calibri" w:hAnsi="Calibri"/>
          <w:color w:val="1B2638"/>
          <w:sz w:val="22"/>
        </w:rPr>
        <w:t>Semantic facts, authoritative evidence, UI projection, replay, and live stepping now have distinct contracts.</w:t>
      </w:r>
    </w:p>
    <w:p>
      <w:pPr>
        <w:widowControl/>
        <w:spacing w:before="200"/>
      </w:pPr>
      <w:r>
        <w:rPr>
          <w:rFonts w:ascii="Calibri" w:hAnsi="Calibri"/>
          <w:color w:val="5F6B7A"/>
          <w:sz w:val="19"/>
        </w:rPr>
        <w:t xml:space="preserve">Source snapshot: AgentEval main at 345d5b62766d556f5619c1d41d1e31946615e586 (22 Aug 2026). </w:t>
      </w:r>
      <w:hyperlink r:id="rId11">
        <w:r>
          <w:rPr>
            <w:color w:val="2E74B5"/>
            <w:u w:val="single"/>
          </w:rPr>
          <w:t>Open immutable PartnerDesk snapshot</w:t>
        </w:r>
      </w:hyperlink>
    </w:p>
    <w:p>
      <w:pPr>
        <w:widowControl/>
      </w:pPr>
      <w:r>
        <w:br w:type="page"/>
      </w:r>
    </w:p>
    <w:p>
      <w:pPr>
        <w:pStyle w:val="Heading1"/>
        <w:keepNext/>
        <w:widowControl/>
      </w:pPr>
      <w:r>
        <w:t>1. Decision brief</w:t>
      </w:r>
    </w:p>
    <w:p>
      <w:pPr>
        <w:keepLines/>
        <w:spacing w:before="120" w:after="200" w:line="283" w:lineRule="auto"/>
        <w:ind w:left="173" w:right="115"/>
        <w:shd w:fill="E8F0FA" w:val="clear"/>
        <w:widowControl/>
        <w:pBdr>
          <w:left w:val="single" w:sz="28" w:space="8" w:color="2E74B5"/>
        </w:pBdr>
      </w:pPr>
      <w:r>
        <w:rPr>
          <w:rFonts w:ascii="Calibri" w:hAnsi="Calibri"/>
          <w:b/>
          <w:color w:val="2E74B5"/>
          <w:sz w:val="20"/>
        </w:rPr>
        <w:t xml:space="preserve">DECISION REQUESTED  </w:t>
      </w:r>
      <w:r>
        <w:rPr>
          <w:rFonts w:ascii="Calibri" w:hAnsi="Calibri"/>
          <w:color w:val="1B2638"/>
          <w:sz w:val="21"/>
        </w:rPr>
        <w:t>Approve the stage MVP and its sequencing: truth-preserving import, semantic recording and replay, a scripted four-scene Live Demo, deterministic comparison, then hardening. Treat Live provider, true execution checkpoints, and repeated-run Experiment charts as a second milestone.</w:t>
      </w:r>
    </w:p>
    <w:p>
      <w:pPr>
        <w:pStyle w:val="Heading2"/>
        <w:keepNext/>
        <w:widowControl/>
      </w:pPr>
      <w:r>
        <w:t>Audience, purpose, and operating assumption</w:t>
      </w:r>
    </w:p>
    <w:p>
      <w:pPr>
        <w:widowControl/>
      </w:pPr>
      <w:r>
        <w:rPr>
          <w:rFonts w:ascii="Calibri" w:hAnsi="Calibri"/>
          <w:color w:val="1B2638"/>
          <w:sz w:val="22"/>
        </w:rPr>
        <w:t>The primary audience is a technical conference or customer-demo audience that needs to understand indirect prompt injection and control placement without reading logs. The primary delivery is a five-minute guided story on a Windows stage machine at 1920x1080, with 1280x720 and 1280x800 fallback layouts. The architecture remains portable, but the first release is validated and packaged Windows-first.</w:t>
      </w:r>
    </w:p>
    <w:p>
      <w:pPr>
        <w:pStyle w:val="Heading2"/>
        <w:keepNext/>
        <w:widowControl/>
      </w:pPr>
      <w:r>
        <w:t>Stage MVP</w:t>
      </w:r>
    </w:p>
    <w:p>
      <w:pPr>
        <w:pStyle w:val="ListBullet"/>
        <w:keepLines/>
        <w:widowControl/>
        <w:spacing w:after="80" w:line="290" w:lineRule="auto"/>
        <w:ind w:left="540" w:hanging="279"/>
      </w:pPr>
      <w:r>
        <w:rPr>
          <w:rFonts w:ascii="Calibri" w:hAnsi="Calibri"/>
          <w:color w:val="1B2638"/>
          <w:sz w:val="22"/>
        </w:rPr>
        <w:t>Pinned PartnerDesk demo, Evals sibling, deterministic tests, provenance, and CLI parity.</w:t>
      </w:r>
    </w:p>
    <w:p>
      <w:pPr>
        <w:pStyle w:val="ListBullet"/>
        <w:keepLines/>
        <w:widowControl/>
        <w:spacing w:after="80" w:line="290" w:lineRule="auto"/>
        <w:ind w:left="540" w:hanging="279"/>
      </w:pPr>
      <w:r>
        <w:rPr>
          <w:rFonts w:ascii="Calibri" w:hAnsi="Calibri"/>
          <w:color w:val="1B2638"/>
          <w:sz w:val="22"/>
        </w:rPr>
        <w:t>Scripted provider by default; four canonical presets; compromised-supplier visibility; safe MCP child restart.</w:t>
      </w:r>
    </w:p>
    <w:p>
      <w:pPr>
        <w:pStyle w:val="ListBullet"/>
        <w:keepLines/>
        <w:widowControl/>
        <w:spacing w:after="80" w:line="290" w:lineRule="auto"/>
        <w:ind w:left="540" w:hanging="279"/>
      </w:pPr>
      <w:r>
        <w:rPr>
          <w:rFonts w:ascii="Calibri" w:hAnsi="Calibri"/>
          <w:color w:val="1B2638"/>
          <w:sz w:val="22"/>
        </w:rPr>
        <w:t>Static security topology with directional packets, inline protections, model-provider boundary, and a persistent evidence rail.</w:t>
      </w:r>
    </w:p>
    <w:p>
      <w:pPr>
        <w:pStyle w:val="ListBullet"/>
        <w:keepLines/>
        <w:widowControl/>
        <w:spacing w:after="80" w:line="290" w:lineRule="auto"/>
        <w:ind w:left="540" w:hanging="279"/>
      </w:pPr>
      <w:r>
        <w:rPr>
          <w:rFonts w:ascii="Calibri" w:hAnsi="Calibri"/>
          <w:color w:val="1B2638"/>
          <w:sz w:val="22"/>
        </w:rPr>
        <w:t>Turn-grouped Story/Security timeline, resizable inspector, correlated Debug view, safe diagnostics, replay stepping, cancel, reset, and presentation playback.</w:t>
      </w:r>
    </w:p>
    <w:p>
      <w:pPr>
        <w:pStyle w:val="ListBullet"/>
        <w:keepLines/>
        <w:widowControl/>
        <w:spacing w:after="80" w:line="290" w:lineRule="auto"/>
        <w:ind w:left="540" w:hanging="279"/>
      </w:pPr>
      <w:r>
        <w:rPr>
          <w:rFonts w:ascii="Calibri" w:hAnsi="Calibri"/>
          <w:color w:val="1B2638"/>
          <w:sz w:val="22"/>
        </w:rPr>
        <w:t>Gatekeeper master state plus dependency-valid per-protection controls, and deterministic Phase 2 versus Phase 4 comparison from clean resets.</w:t>
      </w:r>
    </w:p>
    <w:p>
      <w:pPr>
        <w:pStyle w:val="Heading2"/>
        <w:keepNext/>
        <w:widowControl/>
      </w:pPr>
      <w:r>
        <w:t>Explicitly deferred</w:t>
      </w:r>
    </w:p>
    <w:p>
      <w:pPr>
        <w:pStyle w:val="ListBullet"/>
        <w:keepLines/>
        <w:widowControl/>
        <w:spacing w:after="80" w:line="290" w:lineRule="auto"/>
        <w:ind w:left="540" w:hanging="279"/>
      </w:pPr>
      <w:r>
        <w:rPr>
          <w:rFonts w:ascii="Calibri" w:hAnsi="Calibri"/>
          <w:color w:val="1B2638"/>
          <w:sz w:val="22"/>
        </w:rPr>
        <w:t>Live provider as a supported stage path and any model-efficacy claim.</w:t>
      </w:r>
    </w:p>
    <w:p>
      <w:pPr>
        <w:pStyle w:val="ListBullet"/>
        <w:keepLines/>
        <w:widowControl/>
        <w:spacing w:after="80" w:line="290" w:lineRule="auto"/>
        <w:ind w:left="540" w:hanging="279"/>
      </w:pPr>
      <w:r>
        <w:rPr>
          <w:rFonts w:ascii="Calibri" w:hAnsi="Calibri"/>
          <w:color w:val="1B2638"/>
          <w:sz w:val="22"/>
        </w:rPr>
        <w:t>True live execution checkpoints, unrestricted Custom Lab combinations, and cross-run persistent quarantine.</w:t>
      </w:r>
    </w:p>
    <w:p>
      <w:pPr>
        <w:pStyle w:val="ListBullet"/>
        <w:keepLines/>
        <w:widowControl/>
        <w:spacing w:after="80" w:line="290" w:lineRule="auto"/>
        <w:ind w:left="540" w:hanging="279"/>
      </w:pPr>
      <w:r>
        <w:rPr>
          <w:rFonts w:ascii="Calibri" w:hAnsi="Calibri"/>
          <w:color w:val="1B2638"/>
          <w:sz w:val="22"/>
        </w:rPr>
        <w:t>Repeated-run Experiment charts, shadow judge presentation, cross-platform installers, generic graph infrastructure, and additional scenarios.</w:t>
      </w:r>
    </w:p>
    <w:p>
      <w:pPr>
        <w:keepLines/>
        <w:spacing w:before="120" w:after="200" w:line="283" w:lineRule="auto"/>
        <w:ind w:left="173" w:right="115"/>
        <w:shd w:fill="FFF4D6" w:val="clear"/>
        <w:widowControl/>
        <w:pBdr>
          <w:left w:val="single" w:sz="28" w:space="8" w:color="8A5A00"/>
        </w:pBdr>
      </w:pPr>
      <w:r>
        <w:rPr>
          <w:rFonts w:ascii="Calibri" w:hAnsi="Calibri"/>
          <w:b/>
          <w:color w:val="8A5A00"/>
          <w:sz w:val="20"/>
        </w:rPr>
        <w:t xml:space="preserve">NON-NEGOTIABLES  </w:t>
      </w:r>
      <w:r>
        <w:rPr>
          <w:rFonts w:ascii="Calibri" w:hAnsi="Calibri"/>
          <w:color w:val="1B2638"/>
          <w:sz w:val="21"/>
        </w:rPr>
        <w:t>PhaseOutcome, journals, ledgers, and containment state remain the evidence sources. All dangerous effects are synthetic and local. The UI never displays hidden reasoning, never turns missing evidence into green, and never claims general prompt-injection immunity from an attack-specific demonstration.</w:t>
      </w:r>
    </w:p>
    <w:p>
      <w:pPr>
        <w:widowControl/>
      </w:pPr>
      <w:r>
        <w:br w:type="page"/>
      </w:r>
    </w:p>
    <w:p>
      <w:pPr>
        <w:pStyle w:val="Heading2"/>
        <w:keepNext/>
        <w:widowControl/>
      </w:pPr>
      <w:r>
        <w:t>Recommended decision log</w:t>
      </w:r>
    </w:p>
    <w:tbl>
      <w:tblPr>
        <w:tblStyle w:val="TableGrid"/>
        <w:tblW w:type="dxa" w:w="9360"/>
        <w:jc w:val="left"/>
        <w:tblLayout w:type="fixed"/>
        <w:tblLook w:firstColumn="1" w:firstRow="1" w:lastColumn="0" w:lastRow="0" w:noHBand="0" w:noVBand="1" w:val="04A0"/>
        <w:tblInd w:w="120" w:type="dxa"/>
        <w:tblBorders>
          <w:top w:val="single" w:sz="6" w:space="0" w:color="D8DEE7"/>
          <w:left w:val="single" w:sz="6" w:space="0" w:color="D8DEE7"/>
          <w:bottom w:val="single" w:sz="6" w:space="0" w:color="D8DEE7"/>
          <w:right w:val="single" w:sz="6" w:space="0" w:color="D8DEE7"/>
          <w:insideH w:val="single" w:sz="6" w:space="0" w:color="D8DEE7"/>
          <w:insideV w:val="single" w:sz="6" w:space="0" w:color="D8DEE7"/>
        </w:tblBorders>
      </w:tblPr>
      <w:tblGrid>
        <w:gridCol w:w="1900"/>
        <w:gridCol w:w="2650"/>
        <w:gridCol w:w="4810"/>
      </w:tblGrid>
      <w:tr>
        <w:trPr>
          <w:tblHeader w:val="true"/>
          <w:cantSplit w:val="true"/>
        </w:trPr>
        <w:tc>
          <w:tcPr>
            <w:tcW w:type="dxa" w:w="1900"/>
            <w:shd w:fill="E8F0FA" w:val="clear"/>
            <w:tcMar>
              <w:top w:w="85" w:type="dxa"/>
              <w:start w:w="120" w:type="dxa"/>
              <w:bottom w:w="85" w:type="dxa"/>
              <w:end w:w="120" w:type="dxa"/>
            </w:tcMar>
            <w:vAlign w:val="center"/>
          </w:tcPr>
          <w:p>
            <w:pPr>
              <w:spacing w:after="0"/>
            </w:pPr>
            <w:r>
              <w:rPr>
                <w:rFonts w:ascii="Calibri" w:hAnsi="Calibri"/>
                <w:b/>
                <w:color w:val="17365D"/>
                <w:sz w:val="19"/>
              </w:rPr>
              <w:t>Decision</w:t>
            </w:r>
          </w:p>
        </w:tc>
        <w:tc>
          <w:tcPr>
            <w:tcW w:type="dxa" w:w="2650"/>
            <w:shd w:fill="E8F0FA" w:val="clear"/>
            <w:tcMar>
              <w:top w:w="85" w:type="dxa"/>
              <w:start w:w="120" w:type="dxa"/>
              <w:bottom w:w="85" w:type="dxa"/>
              <w:end w:w="120" w:type="dxa"/>
            </w:tcMar>
            <w:vAlign w:val="center"/>
          </w:tcPr>
          <w:p>
            <w:pPr>
              <w:spacing w:after="0"/>
            </w:pPr>
            <w:r>
              <w:rPr>
                <w:rFonts w:ascii="Calibri" w:hAnsi="Calibri"/>
                <w:b/>
                <w:color w:val="17365D"/>
                <w:sz w:val="19"/>
              </w:rPr>
              <w:t>Recommendation</w:t>
            </w:r>
          </w:p>
        </w:tc>
        <w:tc>
          <w:tcPr>
            <w:tcW w:type="dxa" w:w="4810"/>
            <w:shd w:fill="E8F0FA" w:val="clear"/>
            <w:tcMar>
              <w:top w:w="85" w:type="dxa"/>
              <w:start w:w="120" w:type="dxa"/>
              <w:bottom w:w="85" w:type="dxa"/>
              <w:end w:w="120" w:type="dxa"/>
            </w:tcMar>
            <w:vAlign w:val="center"/>
          </w:tcPr>
          <w:p>
            <w:pPr>
              <w:spacing w:after="0"/>
            </w:pPr>
            <w:r>
              <w:rPr>
                <w:rFonts w:ascii="Calibri" w:hAnsi="Calibri"/>
                <w:b/>
                <w:color w:val="17365D"/>
                <w:sz w:val="19"/>
              </w:rPr>
              <w:t>Reason</w:t>
            </w:r>
          </w:p>
        </w:tc>
      </w:tr>
      <w:tr>
        <w:trPr>
          <w:cantSplit w:val="true"/>
        </w:trPr>
        <w:tc>
          <w:tcPr>
            <w:tcW w:type="dxa" w:w="1900"/>
            <w:tcMar>
              <w:top w:w="85" w:type="dxa"/>
              <w:start w:w="120" w:type="dxa"/>
              <w:bottom w:w="85" w:type="dxa"/>
              <w:end w:w="120" w:type="dxa"/>
            </w:tcMar>
            <w:vAlign w:val="center"/>
          </w:tcPr>
          <w:p>
            <w:pPr>
              <w:spacing w:after="0" w:line="259" w:lineRule="auto"/>
            </w:pPr>
            <w:r>
              <w:rPr>
                <w:rFonts w:ascii="Calibri" w:hAnsi="Calibri"/>
                <w:color w:val="1B2638"/>
                <w:sz w:val="17"/>
              </w:rPr>
              <w:t>First platform</w:t>
            </w:r>
          </w:p>
        </w:tc>
        <w:tc>
          <w:tcPr>
            <w:tcW w:type="dxa" w:w="2650"/>
            <w:tcMar>
              <w:top w:w="85" w:type="dxa"/>
              <w:start w:w="120" w:type="dxa"/>
              <w:bottom w:w="85" w:type="dxa"/>
              <w:end w:w="120" w:type="dxa"/>
            </w:tcMar>
            <w:vAlign w:val="center"/>
          </w:tcPr>
          <w:p>
            <w:pPr>
              <w:spacing w:after="0" w:line="259" w:lineRule="auto"/>
            </w:pPr>
            <w:r>
              <w:rPr>
                <w:rFonts w:ascii="Calibri" w:hAnsi="Calibri"/>
                <w:color w:val="1B2638"/>
                <w:sz w:val="17"/>
              </w:rPr>
              <w:t>Windows-first; portable architecture</w:t>
            </w:r>
          </w:p>
        </w:tc>
        <w:tc>
          <w:tcPr>
            <w:tcW w:type="dxa" w:w="4810"/>
            <w:tcMar>
              <w:top w:w="85" w:type="dxa"/>
              <w:start w:w="120" w:type="dxa"/>
              <w:bottom w:w="85" w:type="dxa"/>
              <w:end w:w="120" w:type="dxa"/>
            </w:tcMar>
            <w:vAlign w:val="center"/>
          </w:tcPr>
          <w:p>
            <w:pPr>
              <w:spacing w:after="0" w:line="259" w:lineRule="auto"/>
            </w:pPr>
            <w:r>
              <w:rPr>
                <w:rFonts w:ascii="Calibri" w:hAnsi="Calibri"/>
                <w:color w:val="1B2638"/>
                <w:sz w:val="17"/>
              </w:rPr>
              <w:t>Optimizes stage reliability without creating Windows-only domain code.</w:t>
            </w:r>
          </w:p>
        </w:tc>
      </w:tr>
      <w:tr>
        <w:trPr>
          <w:cantSplit w:val="true"/>
        </w:trPr>
        <w:tc>
          <w:tcPr>
            <w:tcW w:type="dxa" w:w="1900"/>
            <w:tcMar>
              <w:top w:w="85" w:type="dxa"/>
              <w:start w:w="120" w:type="dxa"/>
              <w:bottom w:w="85" w:type="dxa"/>
              <w:end w:w="120" w:type="dxa"/>
            </w:tcMar>
            <w:vAlign w:val="center"/>
          </w:tcPr>
          <w:p>
            <w:pPr>
              <w:spacing w:after="0" w:line="259" w:lineRule="auto"/>
            </w:pPr>
            <w:r>
              <w:rPr>
                <w:rFonts w:ascii="Calibri" w:hAnsi="Calibri"/>
                <w:color w:val="1B2638"/>
                <w:sz w:val="17"/>
              </w:rPr>
              <w:t>Provider</w:t>
            </w:r>
          </w:p>
        </w:tc>
        <w:tc>
          <w:tcPr>
            <w:tcW w:type="dxa" w:w="2650"/>
            <w:tcMar>
              <w:top w:w="85" w:type="dxa"/>
              <w:start w:w="120" w:type="dxa"/>
              <w:bottom w:w="85" w:type="dxa"/>
              <w:end w:w="120" w:type="dxa"/>
            </w:tcMar>
            <w:vAlign w:val="center"/>
          </w:tcPr>
          <w:p>
            <w:pPr>
              <w:spacing w:after="0" w:line="259" w:lineRule="auto"/>
            </w:pPr>
            <w:r>
              <w:rPr>
                <w:rFonts w:ascii="Calibri" w:hAnsi="Calibri"/>
                <w:color w:val="1B2638"/>
                <w:sz w:val="17"/>
              </w:rPr>
              <w:t>Scripted default; Live later</w:t>
            </w:r>
          </w:p>
        </w:tc>
        <w:tc>
          <w:tcPr>
            <w:tcW w:type="dxa" w:w="4810"/>
            <w:tcMar>
              <w:top w:w="85" w:type="dxa"/>
              <w:start w:w="120" w:type="dxa"/>
              <w:bottom w:w="85" w:type="dxa"/>
              <w:end w:w="120" w:type="dxa"/>
            </w:tcMar>
            <w:vAlign w:val="center"/>
          </w:tcPr>
          <w:p>
            <w:pPr>
              <w:spacing w:after="0" w:line="259" w:lineRule="auto"/>
            </w:pPr>
            <w:r>
              <w:rPr>
                <w:rFonts w:ascii="Calibri" w:hAnsi="Calibri"/>
                <w:color w:val="1B2638"/>
                <w:sz w:val="17"/>
              </w:rPr>
              <w:t>The canonical story must be deterministic and rehearsable.</w:t>
            </w:r>
          </w:p>
        </w:tc>
      </w:tr>
      <w:tr>
        <w:trPr>
          <w:cantSplit w:val="true"/>
        </w:trPr>
        <w:tc>
          <w:tcPr>
            <w:tcW w:type="dxa" w:w="1900"/>
            <w:tcMar>
              <w:top w:w="85" w:type="dxa"/>
              <w:start w:w="120" w:type="dxa"/>
              <w:bottom w:w="85" w:type="dxa"/>
              <w:end w:w="120" w:type="dxa"/>
            </w:tcMar>
            <w:vAlign w:val="center"/>
          </w:tcPr>
          <w:p>
            <w:pPr>
              <w:spacing w:after="0" w:line="259" w:lineRule="auto"/>
            </w:pPr>
            <w:r>
              <w:rPr>
                <w:rFonts w:ascii="Calibri" w:hAnsi="Calibri"/>
                <w:color w:val="1B2638"/>
                <w:sz w:val="17"/>
              </w:rPr>
              <w:t>Stepping</w:t>
            </w:r>
          </w:p>
        </w:tc>
        <w:tc>
          <w:tcPr>
            <w:tcW w:type="dxa" w:w="2650"/>
            <w:tcMar>
              <w:top w:w="85" w:type="dxa"/>
              <w:start w:w="120" w:type="dxa"/>
              <w:bottom w:w="85" w:type="dxa"/>
              <w:end w:w="120" w:type="dxa"/>
            </w:tcMar>
            <w:vAlign w:val="center"/>
          </w:tcPr>
          <w:p>
            <w:pPr>
              <w:spacing w:after="0" w:line="259" w:lineRule="auto"/>
            </w:pPr>
            <w:r>
              <w:rPr>
                <w:rFonts w:ascii="Calibri" w:hAnsi="Calibri"/>
                <w:color w:val="1B2638"/>
                <w:sz w:val="17"/>
              </w:rPr>
              <w:t>Replay Step in MVP; Live Step later</w:t>
            </w:r>
          </w:p>
        </w:tc>
        <w:tc>
          <w:tcPr>
            <w:tcW w:type="dxa" w:w="4810"/>
            <w:tcMar>
              <w:top w:w="85" w:type="dxa"/>
              <w:start w:w="120" w:type="dxa"/>
              <w:bottom w:w="85" w:type="dxa"/>
              <w:end w:w="120" w:type="dxa"/>
            </w:tcMar>
            <w:vAlign w:val="center"/>
          </w:tcPr>
          <w:p>
            <w:pPr>
              <w:spacing w:after="0" w:line="259" w:lineRule="auto"/>
            </w:pPr>
            <w:r>
              <w:rPr>
                <w:rFonts w:ascii="Calibri" w:hAnsi="Calibri"/>
                <w:color w:val="1B2638"/>
                <w:sz w:val="17"/>
              </w:rPr>
              <w:t>True checkpoints can change timing and lifecycle behavior.</w:t>
            </w:r>
          </w:p>
        </w:tc>
      </w:tr>
      <w:tr>
        <w:trPr>
          <w:cantSplit w:val="true"/>
        </w:trPr>
        <w:tc>
          <w:tcPr>
            <w:tcW w:type="dxa" w:w="1900"/>
            <w:tcMar>
              <w:top w:w="85" w:type="dxa"/>
              <w:start w:w="120" w:type="dxa"/>
              <w:bottom w:w="85" w:type="dxa"/>
              <w:end w:w="120" w:type="dxa"/>
            </w:tcMar>
            <w:vAlign w:val="center"/>
          </w:tcPr>
          <w:p>
            <w:pPr>
              <w:spacing w:after="0" w:line="259" w:lineRule="auto"/>
            </w:pPr>
            <w:r>
              <w:rPr>
                <w:rFonts w:ascii="Calibri" w:hAnsi="Calibri"/>
                <w:color w:val="1B2638"/>
                <w:sz w:val="17"/>
              </w:rPr>
              <w:t>Comparison</w:t>
            </w:r>
          </w:p>
        </w:tc>
        <w:tc>
          <w:tcPr>
            <w:tcW w:type="dxa" w:w="2650"/>
            <w:tcMar>
              <w:top w:w="85" w:type="dxa"/>
              <w:start w:w="120" w:type="dxa"/>
              <w:bottom w:w="85" w:type="dxa"/>
              <w:end w:w="120" w:type="dxa"/>
            </w:tcMar>
            <w:vAlign w:val="center"/>
          </w:tcPr>
          <w:p>
            <w:pPr>
              <w:spacing w:after="0" w:line="259" w:lineRule="auto"/>
            </w:pPr>
            <w:r>
              <w:rPr>
                <w:rFonts w:ascii="Calibri" w:hAnsi="Calibri"/>
                <w:color w:val="1B2638"/>
                <w:sz w:val="17"/>
              </w:rPr>
              <w:t>Core MVP surface</w:t>
            </w:r>
          </w:p>
        </w:tc>
        <w:tc>
          <w:tcPr>
            <w:tcW w:type="dxa" w:w="4810"/>
            <w:tcMar>
              <w:top w:w="85" w:type="dxa"/>
              <w:start w:w="120" w:type="dxa"/>
              <w:bottom w:w="85" w:type="dxa"/>
              <w:end w:w="120" w:type="dxa"/>
            </w:tcMar>
            <w:vAlign w:val="center"/>
          </w:tcPr>
          <w:p>
            <w:pPr>
              <w:spacing w:after="0" w:line="259" w:lineRule="auto"/>
            </w:pPr>
            <w:r>
              <w:rPr>
                <w:rFonts w:ascii="Calibri" w:hAnsi="Calibri"/>
                <w:color w:val="1B2638"/>
                <w:sz w:val="17"/>
              </w:rPr>
              <w:t>Without/with Gatekeeper is the audience's clearest evidence.</w:t>
            </w:r>
          </w:p>
        </w:tc>
      </w:tr>
      <w:tr>
        <w:trPr>
          <w:cantSplit w:val="true"/>
        </w:trPr>
        <w:tc>
          <w:tcPr>
            <w:tcW w:type="dxa" w:w="1900"/>
            <w:tcMar>
              <w:top w:w="85" w:type="dxa"/>
              <w:start w:w="120" w:type="dxa"/>
              <w:bottom w:w="85" w:type="dxa"/>
              <w:end w:w="120" w:type="dxa"/>
            </w:tcMar>
            <w:vAlign w:val="center"/>
          </w:tcPr>
          <w:p>
            <w:pPr>
              <w:spacing w:after="0" w:line="259" w:lineRule="auto"/>
            </w:pPr>
            <w:r>
              <w:rPr>
                <w:rFonts w:ascii="Calibri" w:hAnsi="Calibri"/>
                <w:color w:val="1B2638"/>
                <w:sz w:val="17"/>
              </w:rPr>
              <w:t>Custom controls</w:t>
            </w:r>
          </w:p>
        </w:tc>
        <w:tc>
          <w:tcPr>
            <w:tcW w:type="dxa" w:w="2650"/>
            <w:tcMar>
              <w:top w:w="85" w:type="dxa"/>
              <w:start w:w="120" w:type="dxa"/>
              <w:bottom w:w="85" w:type="dxa"/>
              <w:end w:w="120" w:type="dxa"/>
            </w:tcMar>
            <w:vAlign w:val="center"/>
          </w:tcPr>
          <w:p>
            <w:pPr>
              <w:spacing w:after="0" w:line="259" w:lineRule="auto"/>
            </w:pPr>
            <w:r>
              <w:rPr>
                <w:rFonts w:ascii="Calibri" w:hAnsi="Calibri"/>
                <w:color w:val="1B2638"/>
                <w:sz w:val="17"/>
              </w:rPr>
              <w:t>Only dependency-valid combinations</w:t>
            </w:r>
          </w:p>
        </w:tc>
        <w:tc>
          <w:tcPr>
            <w:tcW w:type="dxa" w:w="4810"/>
            <w:tcMar>
              <w:top w:w="85" w:type="dxa"/>
              <w:start w:w="120" w:type="dxa"/>
              <w:bottom w:w="85" w:type="dxa"/>
              <w:end w:w="120" w:type="dxa"/>
            </w:tcMar>
            <w:vAlign w:val="center"/>
          </w:tcPr>
          <w:p>
            <w:pPr>
              <w:spacing w:after="0" w:line="259" w:lineRule="auto"/>
            </w:pPr>
            <w:r>
              <w:rPr>
                <w:rFonts w:ascii="Calibri" w:hAnsi="Calibri"/>
                <w:color w:val="1B2638"/>
                <w:sz w:val="17"/>
              </w:rPr>
              <w:t>Prevents incoherent containment and misleading PASS states.</w:t>
            </w:r>
          </w:p>
        </w:tc>
      </w:tr>
    </w:tbl>
    <w:p>
      <w:pPr>
        <w:pStyle w:val="Heading2"/>
        <w:keepNext/>
        <w:widowControl/>
      </w:pPr>
      <w:r>
        <w:t>What success looks like</w:t>
      </w:r>
    </w:p>
    <w:p>
      <w:pPr>
        <w:pStyle w:val="ListNumber"/>
        <w:keepLines/>
        <w:widowControl/>
        <w:numPr>
          <w:ilvl w:val="0"/>
          <w:numId w:val="14"/>
        </w:numPr>
        <w:spacing w:after="80" w:line="290" w:lineRule="auto"/>
        <w:ind w:left="540" w:hanging="279"/>
      </w:pPr>
      <w:r>
        <w:rPr>
          <w:rFonts w:ascii="Calibri" w:hAnsi="Calibri"/>
          <w:color w:val="1B2638"/>
          <w:sz w:val="22"/>
        </w:rPr>
        <w:t>Phase 1 establishes the normal request, one partner lookup, internal email, and final user answer without any security warning.</w:t>
      </w:r>
    </w:p>
    <w:p>
      <w:pPr>
        <w:pStyle w:val="ListNumber"/>
        <w:keepLines/>
        <w:widowControl/>
        <w:numPr>
          <w:ilvl w:val="0"/>
          <w:numId w:val="14"/>
        </w:numPr>
        <w:spacing w:after="80" w:line="290" w:lineRule="auto"/>
        <w:ind w:left="540" w:hanging="279"/>
      </w:pPr>
      <w:r>
        <w:rPr>
          <w:rFonts w:ascii="Calibri" w:hAnsi="Calibri"/>
          <w:color w:val="1B2638"/>
          <w:sz w:val="22"/>
        </w:rPr>
        <w:t>Phase 2 shows hostile supplier content reaching model context and simulated prohibited effects reaching the ledger.</w:t>
      </w:r>
    </w:p>
    <w:p>
      <w:pPr>
        <w:pStyle w:val="ListNumber"/>
        <w:keepLines/>
        <w:widowControl/>
        <w:numPr>
          <w:ilvl w:val="0"/>
          <w:numId w:val="14"/>
        </w:numPr>
        <w:spacing w:after="80" w:line="290" w:lineRule="auto"/>
        <w:ind w:left="540" w:hanging="279"/>
      </w:pPr>
      <w:r>
        <w:rPr>
          <w:rFonts w:ascii="Calibri" w:hAnsi="Calibri"/>
          <w:color w:val="1B2638"/>
          <w:sz w:val="22"/>
        </w:rPr>
        <w:t>Phase 3 shows the same unsafe proposals reaching effect protections, then zero database/email attack effects.</w:t>
      </w:r>
    </w:p>
    <w:p>
      <w:pPr>
        <w:pStyle w:val="ListNumber"/>
        <w:keepLines/>
        <w:widowControl/>
        <w:numPr>
          <w:ilvl w:val="0"/>
          <w:numId w:val="14"/>
        </w:numPr>
        <w:spacing w:after="80" w:line="290" w:lineRule="auto"/>
        <w:ind w:left="540" w:hanging="279"/>
      </w:pPr>
      <w:r>
        <w:rPr>
          <w:rFonts w:ascii="Calibri" w:hAnsi="Calibri"/>
          <w:color w:val="1B2638"/>
          <w:sz w:val="22"/>
        </w:rPr>
        <w:t>Phase 4 stops hostile content before model context, records run-scoped containment, and refuses retry before MCP invocation.</w:t>
      </w:r>
    </w:p>
    <w:p>
      <w:pPr>
        <w:pStyle w:val="ListNumber"/>
        <w:keepLines/>
        <w:widowControl/>
        <w:numPr>
          <w:ilvl w:val="0"/>
          <w:numId w:val="14"/>
        </w:numPr>
        <w:spacing w:after="80" w:line="290" w:lineRule="auto"/>
        <w:ind w:left="540" w:hanging="279"/>
      </w:pPr>
      <w:r>
        <w:rPr>
          <w:rFonts w:ascii="Calibri" w:hAnsi="Calibri"/>
          <w:color w:val="1B2638"/>
          <w:sz w:val="22"/>
        </w:rPr>
        <w:t>An observer can identify what moved, whether it executed, and why it stopped within ten seconds.</w:t>
      </w:r>
    </w:p>
    <w:p>
      <w:pPr>
        <w:pStyle w:val="Heading1"/>
        <w:keepNext/>
        <w:widowControl/>
      </w:pPr>
      <w:r>
        <w:t>2. Five-minute presenter journey</w:t>
      </w:r>
    </w:p>
    <w:p>
      <w:pPr>
        <w:widowControl/>
      </w:pPr>
      <w:r>
        <w:rPr>
          <w:rFonts w:ascii="Calibri" w:hAnsi="Calibri"/>
          <w:color w:val="1B2638"/>
          <w:sz w:val="22"/>
        </w:rPr>
        <w:t>The canonical path is a guided story, not an exposed settings panel. Each scene starts from a clean reset, announces its goal, highlights one decisive route, and ends with pinned evidence. Phase 3 remains in the main story because it explains the difference between effect guards and inbound result admission.</w:t>
      </w:r>
    </w:p>
    <w:tbl>
      <w:tblPr>
        <w:tblStyle w:val="TableGrid"/>
        <w:tblW w:type="dxa" w:w="9360"/>
        <w:jc w:val="left"/>
        <w:tblLayout w:type="fixed"/>
        <w:tblLook w:firstColumn="1" w:firstRow="1" w:lastColumn="0" w:lastRow="0" w:noHBand="0" w:noVBand="1" w:val="04A0"/>
        <w:tblInd w:w="120" w:type="dxa"/>
        <w:tblBorders>
          <w:top w:val="single" w:sz="6" w:space="0" w:color="D8DEE7"/>
          <w:left w:val="single" w:sz="6" w:space="0" w:color="D8DEE7"/>
          <w:bottom w:val="single" w:sz="6" w:space="0" w:color="D8DEE7"/>
          <w:right w:val="single" w:sz="6" w:space="0" w:color="D8DEE7"/>
          <w:insideH w:val="single" w:sz="6" w:space="0" w:color="D8DEE7"/>
          <w:insideV w:val="single" w:sz="6" w:space="0" w:color="D8DEE7"/>
        </w:tblBorders>
      </w:tblPr>
      <w:tblGrid>
        <w:gridCol w:w="1100"/>
        <w:gridCol w:w="650"/>
        <w:gridCol w:w="2100"/>
        <w:gridCol w:w="2980"/>
        <w:gridCol w:w="2530"/>
      </w:tblGrid>
      <w:tr>
        <w:trPr>
          <w:tblHeader w:val="true"/>
          <w:cantSplit w:val="true"/>
        </w:trPr>
        <w:tc>
          <w:tcPr>
            <w:tcW w:type="dxa" w:w="1100"/>
            <w:shd w:fill="E8F0FA" w:val="clear"/>
            <w:tcMar>
              <w:top w:w="85" w:type="dxa"/>
              <w:start w:w="120" w:type="dxa"/>
              <w:bottom w:w="85" w:type="dxa"/>
              <w:end w:w="120" w:type="dxa"/>
            </w:tcMar>
            <w:vAlign w:val="center"/>
          </w:tcPr>
          <w:p>
            <w:pPr>
              <w:spacing w:after="0"/>
            </w:pPr>
            <w:r>
              <w:rPr>
                <w:rFonts w:ascii="Calibri" w:hAnsi="Calibri"/>
                <w:b/>
                <w:color w:val="17365D"/>
                <w:sz w:val="19"/>
              </w:rPr>
              <w:t>Scene</w:t>
            </w:r>
          </w:p>
        </w:tc>
        <w:tc>
          <w:tcPr>
            <w:tcW w:type="dxa" w:w="650"/>
            <w:shd w:fill="E8F0FA" w:val="clear"/>
            <w:tcMar>
              <w:top w:w="85" w:type="dxa"/>
              <w:start w:w="120" w:type="dxa"/>
              <w:bottom w:w="85" w:type="dxa"/>
              <w:end w:w="120" w:type="dxa"/>
            </w:tcMar>
            <w:vAlign w:val="center"/>
          </w:tcPr>
          <w:p>
            <w:pPr>
              <w:spacing w:after="0"/>
            </w:pPr>
            <w:r>
              <w:rPr>
                <w:rFonts w:ascii="Calibri" w:hAnsi="Calibri"/>
                <w:b/>
                <w:color w:val="17365D"/>
                <w:sz w:val="19"/>
              </w:rPr>
              <w:t>Time</w:t>
            </w:r>
          </w:p>
        </w:tc>
        <w:tc>
          <w:tcPr>
            <w:tcW w:type="dxa" w:w="2100"/>
            <w:shd w:fill="E8F0FA" w:val="clear"/>
            <w:tcMar>
              <w:top w:w="85" w:type="dxa"/>
              <w:start w:w="120" w:type="dxa"/>
              <w:bottom w:w="85" w:type="dxa"/>
              <w:end w:w="120" w:type="dxa"/>
            </w:tcMar>
            <w:vAlign w:val="center"/>
          </w:tcPr>
          <w:p>
            <w:pPr>
              <w:spacing w:after="0"/>
            </w:pPr>
            <w:r>
              <w:rPr>
                <w:rFonts w:ascii="Calibri" w:hAnsi="Calibri"/>
                <w:b/>
                <w:color w:val="17365D"/>
                <w:sz w:val="19"/>
              </w:rPr>
              <w:t>Presenter action</w:t>
            </w:r>
          </w:p>
        </w:tc>
        <w:tc>
          <w:tcPr>
            <w:tcW w:type="dxa" w:w="2980"/>
            <w:shd w:fill="E8F0FA" w:val="clear"/>
            <w:tcMar>
              <w:top w:w="85" w:type="dxa"/>
              <w:start w:w="120" w:type="dxa"/>
              <w:bottom w:w="85" w:type="dxa"/>
              <w:end w:w="120" w:type="dxa"/>
            </w:tcMar>
            <w:vAlign w:val="center"/>
          </w:tcPr>
          <w:p>
            <w:pPr>
              <w:spacing w:after="0"/>
            </w:pPr>
            <w:r>
              <w:rPr>
                <w:rFonts w:ascii="Calibri" w:hAnsi="Calibri"/>
                <w:b/>
                <w:color w:val="17365D"/>
                <w:sz w:val="19"/>
              </w:rPr>
              <w:t>Audience sees</w:t>
            </w:r>
          </w:p>
        </w:tc>
        <w:tc>
          <w:tcPr>
            <w:tcW w:type="dxa" w:w="2530"/>
            <w:shd w:fill="E8F0FA" w:val="clear"/>
            <w:tcMar>
              <w:top w:w="85" w:type="dxa"/>
              <w:start w:w="120" w:type="dxa"/>
              <w:bottom w:w="85" w:type="dxa"/>
              <w:end w:w="120" w:type="dxa"/>
            </w:tcMar>
            <w:vAlign w:val="center"/>
          </w:tcPr>
          <w:p>
            <w:pPr>
              <w:spacing w:after="0"/>
            </w:pPr>
            <w:r>
              <w:rPr>
                <w:rFonts w:ascii="Calibri" w:hAnsi="Calibri"/>
                <w:b/>
                <w:color w:val="17365D"/>
                <w:sz w:val="19"/>
              </w:rPr>
              <w:t>Takeaway</w:t>
            </w:r>
          </w:p>
        </w:tc>
      </w:tr>
      <w:tr>
        <w:trPr>
          <w:cantSplit w:val="true"/>
        </w:trPr>
        <w:tc>
          <w:tcPr>
            <w:tcW w:type="dxa" w:w="1100"/>
            <w:tcMar>
              <w:top w:w="85" w:type="dxa"/>
              <w:start w:w="120" w:type="dxa"/>
              <w:bottom w:w="85" w:type="dxa"/>
              <w:end w:w="120" w:type="dxa"/>
            </w:tcMar>
            <w:vAlign w:val="center"/>
          </w:tcPr>
          <w:p>
            <w:pPr>
              <w:spacing w:after="0" w:line="259" w:lineRule="auto"/>
            </w:pPr>
            <w:r>
              <w:rPr>
                <w:rFonts w:ascii="Calibri" w:hAnsi="Calibri"/>
                <w:color w:val="1B2638"/>
                <w:sz w:val="16"/>
              </w:rPr>
              <w:t>0 Orientation</w:t>
            </w:r>
          </w:p>
        </w:tc>
        <w:tc>
          <w:tcPr>
            <w:tcW w:type="dxa" w:w="650"/>
            <w:tcMar>
              <w:top w:w="85" w:type="dxa"/>
              <w:start w:w="120" w:type="dxa"/>
              <w:bottom w:w="85" w:type="dxa"/>
              <w:end w:w="120" w:type="dxa"/>
            </w:tcMar>
            <w:vAlign w:val="center"/>
          </w:tcPr>
          <w:p>
            <w:pPr>
              <w:spacing w:after="0" w:line="259" w:lineRule="auto"/>
            </w:pPr>
            <w:r>
              <w:rPr>
                <w:rFonts w:ascii="Calibri" w:hAnsi="Calibri"/>
                <w:color w:val="1B2638"/>
                <w:sz w:val="16"/>
              </w:rPr>
              <w:t>0:30</w:t>
            </w:r>
          </w:p>
        </w:tc>
        <w:tc>
          <w:tcPr>
            <w:tcW w:type="dxa" w:w="2100"/>
            <w:tcMar>
              <w:top w:w="85" w:type="dxa"/>
              <w:start w:w="120" w:type="dxa"/>
              <w:bottom w:w="85" w:type="dxa"/>
              <w:end w:w="120" w:type="dxa"/>
            </w:tcMar>
            <w:vAlign w:val="center"/>
          </w:tcPr>
          <w:p>
            <w:pPr>
              <w:spacing w:after="0" w:line="259" w:lineRule="auto"/>
            </w:pPr>
            <w:r>
              <w:rPr>
                <w:rFonts w:ascii="Calibri" w:hAnsi="Calibri"/>
                <w:color w:val="1B2638"/>
                <w:sz w:val="16"/>
              </w:rPr>
              <w:t>Point out user, local agent, model boundary, MCP, fake tools, and inline protections.</w:t>
            </w:r>
          </w:p>
        </w:tc>
        <w:tc>
          <w:tcPr>
            <w:tcW w:type="dxa" w:w="2980"/>
            <w:tcMar>
              <w:top w:w="85" w:type="dxa"/>
              <w:start w:w="120" w:type="dxa"/>
              <w:bottom w:w="85" w:type="dxa"/>
              <w:end w:w="120" w:type="dxa"/>
            </w:tcMar>
            <w:vAlign w:val="center"/>
          </w:tcPr>
          <w:p>
            <w:pPr>
              <w:spacing w:after="0" w:line="259" w:lineRule="auto"/>
            </w:pPr>
            <w:r>
              <w:rPr>
                <w:rFonts w:ascii="Calibri" w:hAnsi="Calibri"/>
                <w:color w:val="1B2638"/>
                <w:sz w:val="16"/>
              </w:rPr>
              <w:t>Stable topology, legend, sandbox banner; advanced controls hidden.</w:t>
            </w:r>
          </w:p>
        </w:tc>
        <w:tc>
          <w:tcPr>
            <w:tcW w:type="dxa" w:w="2530"/>
            <w:tcMar>
              <w:top w:w="85" w:type="dxa"/>
              <w:start w:w="120" w:type="dxa"/>
              <w:bottom w:w="85" w:type="dxa"/>
              <w:end w:w="120" w:type="dxa"/>
            </w:tcMar>
            <w:vAlign w:val="center"/>
          </w:tcPr>
          <w:p>
            <w:pPr>
              <w:spacing w:after="0" w:line="259" w:lineRule="auto"/>
            </w:pPr>
            <w:r>
              <w:rPr>
                <w:rFonts w:ascii="Calibri" w:hAnsi="Calibri"/>
                <w:color w:val="1B2638"/>
                <w:sz w:val="16"/>
              </w:rPr>
              <w:t>Know who can talk to whom and which boundaries are trusted.</w:t>
            </w:r>
          </w:p>
        </w:tc>
      </w:tr>
      <w:tr>
        <w:trPr>
          <w:cantSplit w:val="true"/>
        </w:trPr>
        <w:tc>
          <w:tcPr>
            <w:tcW w:type="dxa" w:w="1100"/>
            <w:tcMar>
              <w:top w:w="85" w:type="dxa"/>
              <w:start w:w="120" w:type="dxa"/>
              <w:bottom w:w="85" w:type="dxa"/>
              <w:end w:w="120" w:type="dxa"/>
            </w:tcMar>
            <w:vAlign w:val="center"/>
          </w:tcPr>
          <w:p>
            <w:pPr>
              <w:spacing w:after="0" w:line="259" w:lineRule="auto"/>
            </w:pPr>
            <w:r>
              <w:rPr>
                <w:rFonts w:ascii="Calibri" w:hAnsi="Calibri"/>
                <w:color w:val="1B2638"/>
                <w:sz w:val="16"/>
              </w:rPr>
              <w:t>1 Clean baseline</w:t>
            </w:r>
          </w:p>
        </w:tc>
        <w:tc>
          <w:tcPr>
            <w:tcW w:type="dxa" w:w="650"/>
            <w:tcMar>
              <w:top w:w="85" w:type="dxa"/>
              <w:start w:w="120" w:type="dxa"/>
              <w:bottom w:w="85" w:type="dxa"/>
              <w:end w:w="120" w:type="dxa"/>
            </w:tcMar>
            <w:vAlign w:val="center"/>
          </w:tcPr>
          <w:p>
            <w:pPr>
              <w:spacing w:after="0" w:line="259" w:lineRule="auto"/>
            </w:pPr>
            <w:r>
              <w:rPr>
                <w:rFonts w:ascii="Calibri" w:hAnsi="Calibri"/>
                <w:color w:val="1B2638"/>
                <w:sz w:val="16"/>
              </w:rPr>
              <w:t>0:35</w:t>
            </w:r>
          </w:p>
        </w:tc>
        <w:tc>
          <w:tcPr>
            <w:tcW w:type="dxa" w:w="2100"/>
            <w:tcMar>
              <w:top w:w="85" w:type="dxa"/>
              <w:start w:w="120" w:type="dxa"/>
              <w:bottom w:w="85" w:type="dxa"/>
              <w:end w:w="120" w:type="dxa"/>
            </w:tcMar>
            <w:vAlign w:val="center"/>
          </w:tcPr>
          <w:p>
            <w:pPr>
              <w:spacing w:after="0" w:line="259" w:lineRule="auto"/>
            </w:pPr>
            <w:r>
              <w:rPr>
                <w:rFonts w:ascii="Calibri" w:hAnsi="Calibri"/>
                <w:color w:val="1B2638"/>
                <w:sz w:val="16"/>
              </w:rPr>
              <w:t>Run Phase 1.</w:t>
            </w:r>
          </w:p>
        </w:tc>
        <w:tc>
          <w:tcPr>
            <w:tcW w:type="dxa" w:w="2980"/>
            <w:tcMar>
              <w:top w:w="85" w:type="dxa"/>
              <w:start w:w="120" w:type="dxa"/>
              <w:bottom w:w="85" w:type="dxa"/>
              <w:end w:w="120" w:type="dxa"/>
            </w:tcMar>
            <w:vAlign w:val="center"/>
          </w:tcPr>
          <w:p>
            <w:pPr>
              <w:spacing w:after="0" w:line="259" w:lineRule="auto"/>
            </w:pPr>
            <w:r>
              <w:rPr>
                <w:rFonts w:ascii="Calibri" w:hAnsi="Calibri"/>
                <w:color w:val="1B2638"/>
                <w:sz w:val="16"/>
              </w:rPr>
              <w:t>Request packet, clean report, one lookup, internal email, final answer.</w:t>
            </w:r>
          </w:p>
        </w:tc>
        <w:tc>
          <w:tcPr>
            <w:tcW w:type="dxa" w:w="2530"/>
            <w:tcMar>
              <w:top w:w="85" w:type="dxa"/>
              <w:start w:w="120" w:type="dxa"/>
              <w:bottom w:w="85" w:type="dxa"/>
              <w:end w:w="120" w:type="dxa"/>
            </w:tcMar>
            <w:vAlign w:val="center"/>
          </w:tcPr>
          <w:p>
            <w:pPr>
              <w:spacing w:after="0" w:line="259" w:lineRule="auto"/>
            </w:pPr>
            <w:r>
              <w:rPr>
                <w:rFonts w:ascii="Calibri" w:hAnsi="Calibri"/>
                <w:color w:val="1B2638"/>
                <w:sz w:val="16"/>
              </w:rPr>
              <w:t>Normal behavior first; no security theater.</w:t>
            </w:r>
          </w:p>
        </w:tc>
      </w:tr>
      <w:tr>
        <w:trPr>
          <w:cantSplit w:val="true"/>
        </w:trPr>
        <w:tc>
          <w:tcPr>
            <w:tcW w:type="dxa" w:w="1100"/>
            <w:tcMar>
              <w:top w:w="85" w:type="dxa"/>
              <w:start w:w="120" w:type="dxa"/>
              <w:bottom w:w="85" w:type="dxa"/>
              <w:end w:w="120" w:type="dxa"/>
            </w:tcMar>
            <w:vAlign w:val="center"/>
          </w:tcPr>
          <w:p>
            <w:pPr>
              <w:spacing w:after="0" w:line="259" w:lineRule="auto"/>
            </w:pPr>
            <w:r>
              <w:rPr>
                <w:rFonts w:ascii="Calibri" w:hAnsi="Calibri"/>
                <w:color w:val="1B2638"/>
                <w:sz w:val="16"/>
              </w:rPr>
              <w:t>2 Attack succeeds</w:t>
            </w:r>
          </w:p>
        </w:tc>
        <w:tc>
          <w:tcPr>
            <w:tcW w:type="dxa" w:w="650"/>
            <w:tcMar>
              <w:top w:w="85" w:type="dxa"/>
              <w:start w:w="120" w:type="dxa"/>
              <w:bottom w:w="85" w:type="dxa"/>
              <w:end w:w="120" w:type="dxa"/>
            </w:tcMar>
            <w:vAlign w:val="center"/>
          </w:tcPr>
          <w:p>
            <w:pPr>
              <w:spacing w:after="0" w:line="259" w:lineRule="auto"/>
            </w:pPr>
            <w:r>
              <w:rPr>
                <w:rFonts w:ascii="Calibri" w:hAnsi="Calibri"/>
                <w:color w:val="1B2638"/>
                <w:sz w:val="16"/>
              </w:rPr>
              <w:t>0:55</w:t>
            </w:r>
          </w:p>
        </w:tc>
        <w:tc>
          <w:tcPr>
            <w:tcW w:type="dxa" w:w="2100"/>
            <w:tcMar>
              <w:top w:w="85" w:type="dxa"/>
              <w:start w:w="120" w:type="dxa"/>
              <w:bottom w:w="85" w:type="dxa"/>
              <w:end w:w="120" w:type="dxa"/>
            </w:tcMar>
            <w:vAlign w:val="center"/>
          </w:tcPr>
          <w:p>
            <w:pPr>
              <w:spacing w:after="0" w:line="259" w:lineRule="auto"/>
            </w:pPr>
            <w:r>
              <w:rPr>
                <w:rFonts w:ascii="Calibri" w:hAnsi="Calibri"/>
                <w:color w:val="1B2638"/>
                <w:sz w:val="16"/>
              </w:rPr>
              <w:t>Enable compromised supplier through the Phase 2 preset.</w:t>
            </w:r>
          </w:p>
        </w:tc>
        <w:tc>
          <w:tcPr>
            <w:tcW w:type="dxa" w:w="2980"/>
            <w:tcMar>
              <w:top w:w="85" w:type="dxa"/>
              <w:start w:w="120" w:type="dxa"/>
              <w:bottom w:w="85" w:type="dxa"/>
              <w:end w:w="120" w:type="dxa"/>
            </w:tcMar>
            <w:vAlign w:val="center"/>
          </w:tcPr>
          <w:p>
            <w:pPr>
              <w:spacing w:after="0" w:line="259" w:lineRule="auto"/>
            </w:pPr>
            <w:r>
              <w:rPr>
                <w:rFonts w:ascii="Calibri" w:hAnsi="Calibri"/>
                <w:color w:val="1B2638"/>
                <w:sz w:val="16"/>
              </w:rPr>
              <w:t>Injected directive diff, bulk-read proposal, local outbox effect, red simulated-effect evidence.</w:t>
            </w:r>
          </w:p>
        </w:tc>
        <w:tc>
          <w:tcPr>
            <w:tcW w:type="dxa" w:w="2530"/>
            <w:tcMar>
              <w:top w:w="85" w:type="dxa"/>
              <w:start w:w="120" w:type="dxa"/>
              <w:bottom w:w="85" w:type="dxa"/>
              <w:end w:w="120" w:type="dxa"/>
            </w:tcMar>
            <w:vAlign w:val="center"/>
          </w:tcPr>
          <w:p>
            <w:pPr>
              <w:spacing w:after="0" w:line="259" w:lineRule="auto"/>
            </w:pPr>
            <w:r>
              <w:rPr>
                <w:rFonts w:ascii="Calibri" w:hAnsi="Calibri"/>
                <w:color w:val="1B2638"/>
                <w:sz w:val="16"/>
              </w:rPr>
              <w:t>Untrusted tool data can redirect an agent into prohibited actions.</w:t>
            </w:r>
          </w:p>
        </w:tc>
      </w:tr>
      <w:tr>
        <w:trPr>
          <w:cantSplit w:val="true"/>
        </w:trPr>
        <w:tc>
          <w:tcPr>
            <w:tcW w:type="dxa" w:w="1100"/>
            <w:tcMar>
              <w:top w:w="85" w:type="dxa"/>
              <w:start w:w="120" w:type="dxa"/>
              <w:bottom w:w="85" w:type="dxa"/>
              <w:end w:w="120" w:type="dxa"/>
            </w:tcMar>
            <w:vAlign w:val="center"/>
          </w:tcPr>
          <w:p>
            <w:pPr>
              <w:spacing w:after="0" w:line="259" w:lineRule="auto"/>
            </w:pPr>
            <w:r>
              <w:rPr>
                <w:rFonts w:ascii="Calibri" w:hAnsi="Calibri"/>
                <w:color w:val="1B2638"/>
                <w:sz w:val="16"/>
              </w:rPr>
              <w:t>3 Effects blocked</w:t>
            </w:r>
          </w:p>
        </w:tc>
        <w:tc>
          <w:tcPr>
            <w:tcW w:type="dxa" w:w="650"/>
            <w:tcMar>
              <w:top w:w="85" w:type="dxa"/>
              <w:start w:w="120" w:type="dxa"/>
              <w:bottom w:w="85" w:type="dxa"/>
              <w:end w:w="120" w:type="dxa"/>
            </w:tcMar>
            <w:vAlign w:val="center"/>
          </w:tcPr>
          <w:p>
            <w:pPr>
              <w:spacing w:after="0" w:line="259" w:lineRule="auto"/>
            </w:pPr>
            <w:r>
              <w:rPr>
                <w:rFonts w:ascii="Calibri" w:hAnsi="Calibri"/>
                <w:color w:val="1B2638"/>
                <w:sz w:val="16"/>
              </w:rPr>
              <w:t>0:45</w:t>
            </w:r>
          </w:p>
        </w:tc>
        <w:tc>
          <w:tcPr>
            <w:tcW w:type="dxa" w:w="2100"/>
            <w:tcMar>
              <w:top w:w="85" w:type="dxa"/>
              <w:start w:w="120" w:type="dxa"/>
              <w:bottom w:w="85" w:type="dxa"/>
              <w:end w:w="120" w:type="dxa"/>
            </w:tcMar>
            <w:vAlign w:val="center"/>
          </w:tcPr>
          <w:p>
            <w:pPr>
              <w:spacing w:after="0" w:line="259" w:lineRule="auto"/>
            </w:pPr>
            <w:r>
              <w:rPr>
                <w:rFonts w:ascii="Calibri" w:hAnsi="Calibri"/>
                <w:color w:val="1B2638"/>
                <w:sz w:val="16"/>
              </w:rPr>
              <w:t>Run Level 1.</w:t>
            </w:r>
          </w:p>
        </w:tc>
        <w:tc>
          <w:tcPr>
            <w:tcW w:type="dxa" w:w="2980"/>
            <w:tcMar>
              <w:top w:w="85" w:type="dxa"/>
              <w:start w:w="120" w:type="dxa"/>
              <w:bottom w:w="85" w:type="dxa"/>
              <w:end w:w="120" w:type="dxa"/>
            </w:tcMar>
            <w:vAlign w:val="center"/>
          </w:tcPr>
          <w:p>
            <w:pPr>
              <w:spacing w:after="0" w:line="259" w:lineRule="auto"/>
            </w:pPr>
            <w:r>
              <w:rPr>
                <w:rFonts w:ascii="Calibri" w:hAnsi="Calibri"/>
                <w:color w:val="1B2638"/>
                <w:sz w:val="16"/>
              </w:rPr>
              <w:t>Unsafe proposals travel to DB/email protections and stop; execution counters remain zero.</w:t>
            </w:r>
          </w:p>
        </w:tc>
        <w:tc>
          <w:tcPr>
            <w:tcW w:type="dxa" w:w="2530"/>
            <w:tcMar>
              <w:top w:w="85" w:type="dxa"/>
              <w:start w:w="120" w:type="dxa"/>
              <w:bottom w:w="85" w:type="dxa"/>
              <w:end w:w="120" w:type="dxa"/>
            </w:tcMar>
            <w:vAlign w:val="center"/>
          </w:tcPr>
          <w:p>
            <w:pPr>
              <w:spacing w:after="0" w:line="259" w:lineRule="auto"/>
            </w:pPr>
            <w:r>
              <w:rPr>
                <w:rFonts w:ascii="Calibri" w:hAnsi="Calibri"/>
                <w:color w:val="1B2638"/>
                <w:sz w:val="16"/>
              </w:rPr>
              <w:t>Effect guards prevent damage even when hostile content reached model context.</w:t>
            </w:r>
          </w:p>
        </w:tc>
      </w:tr>
      <w:tr>
        <w:trPr>
          <w:cantSplit w:val="true"/>
        </w:trPr>
        <w:tc>
          <w:tcPr>
            <w:tcW w:type="dxa" w:w="1100"/>
            <w:tcMar>
              <w:top w:w="85" w:type="dxa"/>
              <w:start w:w="120" w:type="dxa"/>
              <w:bottom w:w="85" w:type="dxa"/>
              <w:end w:w="120" w:type="dxa"/>
            </w:tcMar>
            <w:vAlign w:val="center"/>
          </w:tcPr>
          <w:p>
            <w:pPr>
              <w:spacing w:after="0" w:line="259" w:lineRule="auto"/>
            </w:pPr>
            <w:r>
              <w:rPr>
                <w:rFonts w:ascii="Calibri" w:hAnsi="Calibri"/>
                <w:color w:val="1B2638"/>
                <w:sz w:val="16"/>
              </w:rPr>
              <w:t>4 Injection blocked + contained</w:t>
            </w:r>
          </w:p>
        </w:tc>
        <w:tc>
          <w:tcPr>
            <w:tcW w:type="dxa" w:w="650"/>
            <w:tcMar>
              <w:top w:w="85" w:type="dxa"/>
              <w:start w:w="120" w:type="dxa"/>
              <w:bottom w:w="85" w:type="dxa"/>
              <w:end w:w="120" w:type="dxa"/>
            </w:tcMar>
            <w:vAlign w:val="center"/>
          </w:tcPr>
          <w:p>
            <w:pPr>
              <w:spacing w:after="0" w:line="259" w:lineRule="auto"/>
            </w:pPr>
            <w:r>
              <w:rPr>
                <w:rFonts w:ascii="Calibri" w:hAnsi="Calibri"/>
                <w:color w:val="1B2638"/>
                <w:sz w:val="16"/>
              </w:rPr>
              <w:t>1:05</w:t>
            </w:r>
          </w:p>
        </w:tc>
        <w:tc>
          <w:tcPr>
            <w:tcW w:type="dxa" w:w="2100"/>
            <w:tcMar>
              <w:top w:w="85" w:type="dxa"/>
              <w:start w:w="120" w:type="dxa"/>
              <w:bottom w:w="85" w:type="dxa"/>
              <w:end w:w="120" w:type="dxa"/>
            </w:tcMar>
            <w:vAlign w:val="center"/>
          </w:tcPr>
          <w:p>
            <w:pPr>
              <w:spacing w:after="0" w:line="259" w:lineRule="auto"/>
            </w:pPr>
            <w:r>
              <w:rPr>
                <w:rFonts w:ascii="Calibri" w:hAnsi="Calibri"/>
                <w:color w:val="1B2638"/>
                <w:sz w:val="16"/>
              </w:rPr>
              <w:t>Run Level 2; confirm Contain PartnerIntel.</w:t>
            </w:r>
          </w:p>
        </w:tc>
        <w:tc>
          <w:tcPr>
            <w:tcW w:type="dxa" w:w="2980"/>
            <w:tcMar>
              <w:top w:w="85" w:type="dxa"/>
              <w:start w:w="120" w:type="dxa"/>
              <w:bottom w:w="85" w:type="dxa"/>
              <w:end w:w="120" w:type="dxa"/>
            </w:tcMar>
            <w:vAlign w:val="center"/>
          </w:tcPr>
          <w:p>
            <w:pPr>
              <w:spacing w:after="0" w:line="259" w:lineRule="auto"/>
            </w:pPr>
            <w:r>
              <w:rPr>
                <w:rFonts w:ascii="Calibri" w:hAnsi="Calibri"/>
                <w:color w:val="1B2638"/>
                <w:sz w:val="16"/>
              </w:rPr>
              <w:t>Hostile result stops at admission; refusal reaches model context; containment and retry refusal appear.</w:t>
            </w:r>
          </w:p>
        </w:tc>
        <w:tc>
          <w:tcPr>
            <w:tcW w:type="dxa" w:w="2530"/>
            <w:tcMar>
              <w:top w:w="85" w:type="dxa"/>
              <w:start w:w="120" w:type="dxa"/>
              <w:bottom w:w="85" w:type="dxa"/>
              <w:end w:w="120" w:type="dxa"/>
            </w:tcMar>
            <w:vAlign w:val="center"/>
          </w:tcPr>
          <w:p>
            <w:pPr>
              <w:spacing w:after="0" w:line="259" w:lineRule="auto"/>
            </w:pPr>
            <w:r>
              <w:rPr>
                <w:rFonts w:ascii="Calibri" w:hAnsi="Calibri"/>
                <w:color w:val="1B2638"/>
                <w:sz w:val="16"/>
              </w:rPr>
              <w:t>Earlier control placement prevents the attack plan from forming.</w:t>
            </w:r>
          </w:p>
        </w:tc>
      </w:tr>
      <w:tr>
        <w:trPr>
          <w:cantSplit w:val="true"/>
        </w:trPr>
        <w:tc>
          <w:tcPr>
            <w:tcW w:type="dxa" w:w="1100"/>
            <w:tcMar>
              <w:top w:w="85" w:type="dxa"/>
              <w:start w:w="120" w:type="dxa"/>
              <w:bottom w:w="85" w:type="dxa"/>
              <w:end w:w="120" w:type="dxa"/>
            </w:tcMar>
            <w:vAlign w:val="center"/>
          </w:tcPr>
          <w:p>
            <w:pPr>
              <w:spacing w:after="0" w:line="259" w:lineRule="auto"/>
            </w:pPr>
            <w:r>
              <w:rPr>
                <w:rFonts w:ascii="Calibri" w:hAnsi="Calibri"/>
                <w:color w:val="1B2638"/>
                <w:sz w:val="16"/>
              </w:rPr>
              <w:t>5 Compare</w:t>
            </w:r>
          </w:p>
        </w:tc>
        <w:tc>
          <w:tcPr>
            <w:tcW w:type="dxa" w:w="650"/>
            <w:tcMar>
              <w:top w:w="85" w:type="dxa"/>
              <w:start w:w="120" w:type="dxa"/>
              <w:bottom w:w="85" w:type="dxa"/>
              <w:end w:w="120" w:type="dxa"/>
            </w:tcMar>
            <w:vAlign w:val="center"/>
          </w:tcPr>
          <w:p>
            <w:pPr>
              <w:spacing w:after="0" w:line="259" w:lineRule="auto"/>
            </w:pPr>
            <w:r>
              <w:rPr>
                <w:rFonts w:ascii="Calibri" w:hAnsi="Calibri"/>
                <w:color w:val="1B2638"/>
                <w:sz w:val="16"/>
              </w:rPr>
              <w:t>0:45</w:t>
            </w:r>
          </w:p>
        </w:tc>
        <w:tc>
          <w:tcPr>
            <w:tcW w:type="dxa" w:w="2100"/>
            <w:tcMar>
              <w:top w:w="85" w:type="dxa"/>
              <w:start w:w="120" w:type="dxa"/>
              <w:bottom w:w="85" w:type="dxa"/>
              <w:end w:w="120" w:type="dxa"/>
            </w:tcMar>
            <w:vAlign w:val="center"/>
          </w:tcPr>
          <w:p>
            <w:pPr>
              <w:spacing w:after="0" w:line="259" w:lineRule="auto"/>
            </w:pPr>
            <w:r>
              <w:rPr>
                <w:rFonts w:ascii="Calibri" w:hAnsi="Calibri"/>
                <w:color w:val="1B2638"/>
                <w:sz w:val="16"/>
              </w:rPr>
              <w:t>Open pinned Phase 2 / Phase 4 delta and replay one decisive boundary.</w:t>
            </w:r>
          </w:p>
        </w:tc>
        <w:tc>
          <w:tcPr>
            <w:tcW w:type="dxa" w:w="2980"/>
            <w:tcMar>
              <w:top w:w="85" w:type="dxa"/>
              <w:start w:w="120" w:type="dxa"/>
              <w:bottom w:w="85" w:type="dxa"/>
              <w:end w:w="120" w:type="dxa"/>
            </w:tcMar>
            <w:vAlign w:val="center"/>
          </w:tcPr>
          <w:p>
            <w:pPr>
              <w:spacing w:after="0" w:line="259" w:lineRule="auto"/>
            </w:pPr>
            <w:r>
              <w:rPr>
                <w:rFonts w:ascii="Calibri" w:hAnsi="Calibri"/>
                <w:color w:val="1B2638"/>
                <w:sz w:val="16"/>
              </w:rPr>
              <w:t>Attempted, executed, withheld, contained, and effect deltas.</w:t>
            </w:r>
          </w:p>
        </w:tc>
        <w:tc>
          <w:tcPr>
            <w:tcW w:type="dxa" w:w="2530"/>
            <w:tcMar>
              <w:top w:w="85" w:type="dxa"/>
              <w:start w:w="120" w:type="dxa"/>
              <w:bottom w:w="85" w:type="dxa"/>
              <w:end w:w="120" w:type="dxa"/>
            </w:tcMar>
            <w:vAlign w:val="center"/>
          </w:tcPr>
          <w:p>
            <w:pPr>
              <w:spacing w:after="0" w:line="259" w:lineRule="auto"/>
            </w:pPr>
            <w:r>
              <w:rPr>
                <w:rFonts w:ascii="Calibri" w:hAnsi="Calibri"/>
                <w:color w:val="1B2638"/>
                <w:sz w:val="16"/>
              </w:rPr>
              <w:t>Gatekeeper changes observable outcomes, not merely colors.</w:t>
            </w:r>
          </w:p>
        </w:tc>
      </w:tr>
    </w:tbl>
    <w:p>
      <w:pPr>
        <w:pStyle w:val="Heading2"/>
        <w:keepNext/>
        <w:widowControl/>
      </w:pPr>
      <w:r>
        <w:t>Presenter interaction hierarchy</w:t>
      </w:r>
    </w:p>
    <w:p>
      <w:pPr>
        <w:widowControl/>
      </w:pPr>
      <w:r>
        <w:rPr>
          <w:rFonts w:ascii="Calibri" w:hAnsi="Calibri"/>
          <w:color w:val="1B2638"/>
          <w:sz w:val="22"/>
        </w:rPr>
        <w:t>The persistent controls should be Previous scene, Run/Continue, Next boundary, Next scene, and Reset story. Three badges carry the configuration at a glance: SCRIPTED/LIVE, SUPPLIER CLEAN/COMPROMISED, and GATEKEEPER OFF/EFFECT/FULL. Provider setup, individual protections, trace filters, payload export, and raw logs live in an Advanced drawer.</w:t>
      </w:r>
    </w:p>
    <w:p>
      <w:pPr>
        <w:keepLines/>
        <w:spacing w:before="120" w:after="200" w:line="283" w:lineRule="auto"/>
        <w:ind w:left="173" w:right="115"/>
        <w:shd w:fill="E5F5F5" w:val="clear"/>
        <w:widowControl/>
        <w:pBdr>
          <w:left w:val="single" w:sz="28" w:space="8" w:color="167C80"/>
        </w:pBdr>
      </w:pPr>
      <w:r>
        <w:rPr>
          <w:rFonts w:ascii="Calibri" w:hAnsi="Calibri"/>
          <w:b/>
          <w:color w:val="167C80"/>
          <w:sz w:val="20"/>
        </w:rPr>
        <w:t xml:space="preserve">PROGRESSIVE DISCLOSURE  </w:t>
      </w:r>
      <w:r>
        <w:rPr>
          <w:rFonts w:ascii="Calibri" w:hAnsi="Calibri"/>
          <w:color w:val="1B2638"/>
          <w:sz w:val="21"/>
        </w:rPr>
        <w:t>Presets lock Evil and protection controls to canonical values. Any manual change switches visibly to Custom Lab and removes the canonical PASS badge unless a dedicated oracle exists.</w:t>
      </w:r>
    </w:p>
    <w:p>
      <w:pPr>
        <w:pStyle w:val="Heading1"/>
        <w:keepNext/>
        <w:widowControl/>
      </w:pPr>
      <w:r>
        <w:t>3. Threat model, trust boundaries, and safety scope</w:t>
      </w:r>
    </w:p>
    <w:tbl>
      <w:tblPr>
        <w:tblStyle w:val="TableGrid"/>
        <w:tblW w:type="dxa" w:w="9360"/>
        <w:jc w:val="left"/>
        <w:tblLayout w:type="fixed"/>
        <w:tblLook w:firstColumn="1" w:firstRow="1" w:lastColumn="0" w:lastRow="0" w:noHBand="0" w:noVBand="1" w:val="04A0"/>
        <w:tblInd w:w="120" w:type="dxa"/>
        <w:tblBorders>
          <w:top w:val="single" w:sz="6" w:space="0" w:color="D8DEE7"/>
          <w:left w:val="single" w:sz="6" w:space="0" w:color="D8DEE7"/>
          <w:bottom w:val="single" w:sz="6" w:space="0" w:color="D8DEE7"/>
          <w:right w:val="single" w:sz="6" w:space="0" w:color="D8DEE7"/>
          <w:insideH w:val="single" w:sz="6" w:space="0" w:color="D8DEE7"/>
          <w:insideV w:val="single" w:sz="6" w:space="0" w:color="D8DEE7"/>
        </w:tblBorders>
      </w:tblPr>
      <w:tblGrid>
        <w:gridCol w:w="1600"/>
        <w:gridCol w:w="2250"/>
        <w:gridCol w:w="2050"/>
        <w:gridCol w:w="3460"/>
      </w:tblGrid>
      <w:tr>
        <w:trPr>
          <w:tblHeader w:val="true"/>
          <w:cantSplit w:val="true"/>
        </w:trPr>
        <w:tc>
          <w:tcPr>
            <w:tcW w:type="dxa" w:w="1600"/>
            <w:shd w:fill="E8F0FA" w:val="clear"/>
            <w:tcMar>
              <w:top w:w="85" w:type="dxa"/>
              <w:start w:w="120" w:type="dxa"/>
              <w:bottom w:w="85" w:type="dxa"/>
              <w:end w:w="120" w:type="dxa"/>
            </w:tcMar>
            <w:vAlign w:val="center"/>
          </w:tcPr>
          <w:p>
            <w:pPr>
              <w:spacing w:after="0"/>
            </w:pPr>
            <w:r>
              <w:rPr>
                <w:rFonts w:ascii="Calibri" w:hAnsi="Calibri"/>
                <w:b/>
                <w:color w:val="17365D"/>
                <w:sz w:val="19"/>
              </w:rPr>
              <w:t>Element</w:t>
            </w:r>
          </w:p>
        </w:tc>
        <w:tc>
          <w:tcPr>
            <w:tcW w:type="dxa" w:w="2250"/>
            <w:shd w:fill="E8F0FA" w:val="clear"/>
            <w:tcMar>
              <w:top w:w="85" w:type="dxa"/>
              <w:start w:w="120" w:type="dxa"/>
              <w:bottom w:w="85" w:type="dxa"/>
              <w:end w:w="120" w:type="dxa"/>
            </w:tcMar>
            <w:vAlign w:val="center"/>
          </w:tcPr>
          <w:p>
            <w:pPr>
              <w:spacing w:after="0"/>
            </w:pPr>
            <w:r>
              <w:rPr>
                <w:rFonts w:ascii="Calibri" w:hAnsi="Calibri"/>
                <w:b/>
                <w:color w:val="17365D"/>
                <w:sz w:val="19"/>
              </w:rPr>
              <w:t>Trust/scope</w:t>
            </w:r>
          </w:p>
        </w:tc>
        <w:tc>
          <w:tcPr>
            <w:tcW w:type="dxa" w:w="2050"/>
            <w:shd w:fill="E8F0FA" w:val="clear"/>
            <w:tcMar>
              <w:top w:w="85" w:type="dxa"/>
              <w:start w:w="120" w:type="dxa"/>
              <w:bottom w:w="85" w:type="dxa"/>
              <w:end w:w="120" w:type="dxa"/>
            </w:tcMar>
            <w:vAlign w:val="center"/>
          </w:tcPr>
          <w:p>
            <w:pPr>
              <w:spacing w:after="0"/>
            </w:pPr>
            <w:r>
              <w:rPr>
                <w:rFonts w:ascii="Calibri" w:hAnsi="Calibri"/>
                <w:b/>
                <w:color w:val="17365D"/>
                <w:sz w:val="19"/>
              </w:rPr>
              <w:t>Protected asset</w:t>
            </w:r>
          </w:p>
        </w:tc>
        <w:tc>
          <w:tcPr>
            <w:tcW w:type="dxa" w:w="3460"/>
            <w:shd w:fill="E8F0FA" w:val="clear"/>
            <w:tcMar>
              <w:top w:w="85" w:type="dxa"/>
              <w:start w:w="120" w:type="dxa"/>
              <w:bottom w:w="85" w:type="dxa"/>
              <w:end w:w="120" w:type="dxa"/>
            </w:tcMar>
            <w:vAlign w:val="center"/>
          </w:tcPr>
          <w:p>
            <w:pPr>
              <w:spacing w:after="0"/>
            </w:pPr>
            <w:r>
              <w:rPr>
                <w:rFonts w:ascii="Calibri" w:hAnsi="Calibri"/>
                <w:b/>
                <w:color w:val="17365D"/>
                <w:sz w:val="19"/>
              </w:rPr>
              <w:t>Proposal consequence</w:t>
            </w:r>
          </w:p>
        </w:tc>
      </w:tr>
      <w:tr>
        <w:trPr>
          <w:cantSplit w:val="true"/>
        </w:trPr>
        <w:tc>
          <w:tcPr>
            <w:tcW w:type="dxa" w:w="1600"/>
            <w:tcMar>
              <w:top w:w="85" w:type="dxa"/>
              <w:start w:w="120" w:type="dxa"/>
              <w:bottom w:w="85" w:type="dxa"/>
              <w:end w:w="120" w:type="dxa"/>
            </w:tcMar>
            <w:vAlign w:val="center"/>
          </w:tcPr>
          <w:p>
            <w:pPr>
              <w:spacing w:after="0" w:line="259" w:lineRule="auto"/>
            </w:pPr>
            <w:r>
              <w:rPr>
                <w:rFonts w:ascii="Calibri" w:hAnsi="Calibri"/>
                <w:color w:val="1B2638"/>
                <w:sz w:val="17"/>
              </w:rPr>
              <w:t>PartnerIntel MCP</w:t>
            </w:r>
          </w:p>
        </w:tc>
        <w:tc>
          <w:tcPr>
            <w:tcW w:type="dxa" w:w="2250"/>
            <w:tcMar>
              <w:top w:w="85" w:type="dxa"/>
              <w:start w:w="120" w:type="dxa"/>
              <w:bottom w:w="85" w:type="dxa"/>
              <w:end w:w="120" w:type="dxa"/>
            </w:tcMar>
            <w:vAlign w:val="center"/>
          </w:tcPr>
          <w:p>
            <w:pPr>
              <w:spacing w:after="0" w:line="259" w:lineRule="auto"/>
            </w:pPr>
            <w:r>
              <w:rPr>
                <w:rFonts w:ascii="Calibri" w:hAnsi="Calibri"/>
                <w:color w:val="1B2638"/>
                <w:sz w:val="17"/>
              </w:rPr>
              <w:t>Separate stdio child; supplier may be compromised</w:t>
            </w:r>
          </w:p>
        </w:tc>
        <w:tc>
          <w:tcPr>
            <w:tcW w:type="dxa" w:w="2050"/>
            <w:tcMar>
              <w:top w:w="85" w:type="dxa"/>
              <w:start w:w="120" w:type="dxa"/>
              <w:bottom w:w="85" w:type="dxa"/>
              <w:end w:w="120" w:type="dxa"/>
            </w:tcMar>
            <w:vAlign w:val="center"/>
          </w:tcPr>
          <w:p>
            <w:pPr>
              <w:spacing w:after="0" w:line="259" w:lineRule="auto"/>
            </w:pPr>
            <w:r>
              <w:rPr>
                <w:rFonts w:ascii="Calibri" w:hAnsi="Calibri"/>
                <w:color w:val="1B2638"/>
                <w:sz w:val="17"/>
              </w:rPr>
              <w:t>Model context and downstream actions</w:t>
            </w:r>
          </w:p>
        </w:tc>
        <w:tc>
          <w:tcPr>
            <w:tcW w:type="dxa" w:w="3460"/>
            <w:tcMar>
              <w:top w:w="85" w:type="dxa"/>
              <w:start w:w="120" w:type="dxa"/>
              <w:bottom w:w="85" w:type="dxa"/>
              <w:end w:w="120" w:type="dxa"/>
            </w:tcMar>
            <w:vAlign w:val="center"/>
          </w:tcPr>
          <w:p>
            <w:pPr>
              <w:spacing w:after="0" w:line="259" w:lineRule="auto"/>
            </w:pPr>
            <w:r>
              <w:rPr>
                <w:rFonts w:ascii="Calibri" w:hAnsi="Calibri"/>
                <w:color w:val="1B2638"/>
                <w:sz w:val="17"/>
              </w:rPr>
              <w:t>Always render as a third-party boundary; evil state becomes effective only after a new handshake.</w:t>
            </w:r>
          </w:p>
        </w:tc>
      </w:tr>
      <w:tr>
        <w:trPr>
          <w:cantSplit w:val="true"/>
        </w:trPr>
        <w:tc>
          <w:tcPr>
            <w:tcW w:type="dxa" w:w="1600"/>
            <w:tcMar>
              <w:top w:w="85" w:type="dxa"/>
              <w:start w:w="120" w:type="dxa"/>
              <w:bottom w:w="85" w:type="dxa"/>
              <w:end w:w="120" w:type="dxa"/>
            </w:tcMar>
            <w:vAlign w:val="center"/>
          </w:tcPr>
          <w:p>
            <w:pPr>
              <w:spacing w:after="0" w:line="259" w:lineRule="auto"/>
            </w:pPr>
            <w:r>
              <w:rPr>
                <w:rFonts w:ascii="Calibri" w:hAnsi="Calibri"/>
                <w:color w:val="1B2638"/>
                <w:sz w:val="17"/>
              </w:rPr>
              <w:t>Model provider</w:t>
            </w:r>
          </w:p>
        </w:tc>
        <w:tc>
          <w:tcPr>
            <w:tcW w:type="dxa" w:w="2250"/>
            <w:tcMar>
              <w:top w:w="85" w:type="dxa"/>
              <w:start w:w="120" w:type="dxa"/>
              <w:bottom w:w="85" w:type="dxa"/>
              <w:end w:w="120" w:type="dxa"/>
            </w:tcMar>
            <w:vAlign w:val="center"/>
          </w:tcPr>
          <w:p>
            <w:pPr>
              <w:spacing w:after="0" w:line="259" w:lineRule="auto"/>
            </w:pPr>
            <w:r>
              <w:rPr>
                <w:rFonts w:ascii="Calibri" w:hAnsi="Calibri"/>
                <w:color w:val="1B2638"/>
                <w:sz w:val="17"/>
              </w:rPr>
              <w:t>Local scripted or external Live provider</w:t>
            </w:r>
          </w:p>
        </w:tc>
        <w:tc>
          <w:tcPr>
            <w:tcW w:type="dxa" w:w="2050"/>
            <w:tcMar>
              <w:top w:w="85" w:type="dxa"/>
              <w:start w:w="120" w:type="dxa"/>
              <w:bottom w:w="85" w:type="dxa"/>
              <w:end w:w="120" w:type="dxa"/>
            </w:tcMar>
            <w:vAlign w:val="center"/>
          </w:tcPr>
          <w:p>
            <w:pPr>
              <w:spacing w:after="0" w:line="259" w:lineRule="auto"/>
            </w:pPr>
            <w:r>
              <w:rPr>
                <w:rFonts w:ascii="Calibri" w:hAnsi="Calibri"/>
                <w:color w:val="1B2638"/>
                <w:sz w:val="17"/>
              </w:rPr>
              <w:t>Prompts and admitted tool results</w:t>
            </w:r>
          </w:p>
        </w:tc>
        <w:tc>
          <w:tcPr>
            <w:tcW w:type="dxa" w:w="3460"/>
            <w:tcMar>
              <w:top w:w="85" w:type="dxa"/>
              <w:start w:w="120" w:type="dxa"/>
              <w:bottom w:w="85" w:type="dxa"/>
              <w:end w:w="120" w:type="dxa"/>
            </w:tcMar>
            <w:vAlign w:val="center"/>
          </w:tcPr>
          <w:p>
            <w:pPr>
              <w:spacing w:after="0" w:line="259" w:lineRule="auto"/>
            </w:pPr>
            <w:r>
              <w:rPr>
                <w:rFonts w:ascii="Calibri" w:hAnsi="Calibri"/>
                <w:color w:val="1B2638"/>
                <w:sz w:val="17"/>
              </w:rPr>
              <w:t>Show as a first-class node; Phase 4 stops content before model context, not before local inspection.</w:t>
            </w:r>
          </w:p>
        </w:tc>
      </w:tr>
      <w:tr>
        <w:trPr>
          <w:cantSplit w:val="true"/>
        </w:trPr>
        <w:tc>
          <w:tcPr>
            <w:tcW w:type="dxa" w:w="1600"/>
            <w:tcMar>
              <w:top w:w="85" w:type="dxa"/>
              <w:start w:w="120" w:type="dxa"/>
              <w:bottom w:w="85" w:type="dxa"/>
              <w:end w:w="120" w:type="dxa"/>
            </w:tcMar>
            <w:vAlign w:val="center"/>
          </w:tcPr>
          <w:p>
            <w:pPr>
              <w:spacing w:after="0" w:line="259" w:lineRule="auto"/>
            </w:pPr>
            <w:r>
              <w:rPr>
                <w:rFonts w:ascii="Calibri" w:hAnsi="Calibri"/>
                <w:color w:val="1B2638"/>
                <w:sz w:val="17"/>
              </w:rPr>
              <w:t>Partner database</w:t>
            </w:r>
          </w:p>
        </w:tc>
        <w:tc>
          <w:tcPr>
            <w:tcW w:type="dxa" w:w="2250"/>
            <w:tcMar>
              <w:top w:w="85" w:type="dxa"/>
              <w:start w:w="120" w:type="dxa"/>
              <w:bottom w:w="85" w:type="dxa"/>
              <w:end w:w="120" w:type="dxa"/>
            </w:tcMar>
            <w:vAlign w:val="center"/>
          </w:tcPr>
          <w:p>
            <w:pPr>
              <w:spacing w:after="0" w:line="259" w:lineRule="auto"/>
            </w:pPr>
            <w:r>
              <w:rPr>
                <w:rFonts w:ascii="Calibri" w:hAnsi="Calibri"/>
                <w:color w:val="1B2638"/>
                <w:sz w:val="17"/>
              </w:rPr>
              <w:t>Synthetic partners.json</w:t>
            </w:r>
          </w:p>
        </w:tc>
        <w:tc>
          <w:tcPr>
            <w:tcW w:type="dxa" w:w="2050"/>
            <w:tcMar>
              <w:top w:w="85" w:type="dxa"/>
              <w:start w:w="120" w:type="dxa"/>
              <w:bottom w:w="85" w:type="dxa"/>
              <w:end w:w="120" w:type="dxa"/>
            </w:tcMar>
            <w:vAlign w:val="center"/>
          </w:tcPr>
          <w:p>
            <w:pPr>
              <w:spacing w:after="0" w:line="259" w:lineRule="auto"/>
            </w:pPr>
            <w:r>
              <w:rPr>
                <w:rFonts w:ascii="Calibri" w:hAnsi="Calibri"/>
                <w:color w:val="1B2638"/>
                <w:sz w:val="17"/>
              </w:rPr>
              <w:t>Partner-record confidentiality</w:t>
            </w:r>
          </w:p>
        </w:tc>
        <w:tc>
          <w:tcPr>
            <w:tcW w:type="dxa" w:w="3460"/>
            <w:tcMar>
              <w:top w:w="85" w:type="dxa"/>
              <w:start w:w="120" w:type="dxa"/>
              <w:bottom w:w="85" w:type="dxa"/>
              <w:end w:w="120" w:type="dxa"/>
            </w:tcMar>
            <w:vAlign w:val="center"/>
          </w:tcPr>
          <w:p>
            <w:pPr>
              <w:spacing w:after="0" w:line="259" w:lineRule="auto"/>
            </w:pPr>
            <w:r>
              <w:rPr>
                <w:rFonts w:ascii="Calibri" w:hAnsi="Calibri"/>
                <w:color w:val="1B2638"/>
                <w:sz w:val="17"/>
              </w:rPr>
              <w:t>Use scenario rules to classify bulk scope; never imply a real production database.</w:t>
            </w:r>
          </w:p>
        </w:tc>
      </w:tr>
      <w:tr>
        <w:trPr>
          <w:cantSplit w:val="true"/>
        </w:trPr>
        <w:tc>
          <w:tcPr>
            <w:tcW w:type="dxa" w:w="1600"/>
            <w:tcMar>
              <w:top w:w="85" w:type="dxa"/>
              <w:start w:w="120" w:type="dxa"/>
              <w:bottom w:w="85" w:type="dxa"/>
              <w:end w:w="120" w:type="dxa"/>
            </w:tcMar>
            <w:vAlign w:val="center"/>
          </w:tcPr>
          <w:p>
            <w:pPr>
              <w:spacing w:after="0" w:line="259" w:lineRule="auto"/>
            </w:pPr>
            <w:r>
              <w:rPr>
                <w:rFonts w:ascii="Calibri" w:hAnsi="Calibri"/>
                <w:color w:val="1B2638"/>
                <w:sz w:val="17"/>
              </w:rPr>
              <w:t>Email</w:t>
            </w:r>
          </w:p>
        </w:tc>
        <w:tc>
          <w:tcPr>
            <w:tcW w:type="dxa" w:w="2250"/>
            <w:tcMar>
              <w:top w:w="85" w:type="dxa"/>
              <w:start w:w="120" w:type="dxa"/>
              <w:bottom w:w="85" w:type="dxa"/>
              <w:end w:w="120" w:type="dxa"/>
            </w:tcMar>
            <w:vAlign w:val="center"/>
          </w:tcPr>
          <w:p>
            <w:pPr>
              <w:spacing w:after="0" w:line="259" w:lineRule="auto"/>
            </w:pPr>
            <w:r>
              <w:rPr>
                <w:rFonts w:ascii="Calibri" w:hAnsi="Calibri"/>
                <w:color w:val="1B2638"/>
                <w:sz w:val="17"/>
              </w:rPr>
              <w:t>Local outbox.log and .example recipient</w:t>
            </w:r>
          </w:p>
        </w:tc>
        <w:tc>
          <w:tcPr>
            <w:tcW w:type="dxa" w:w="2050"/>
            <w:tcMar>
              <w:top w:w="85" w:type="dxa"/>
              <w:start w:w="120" w:type="dxa"/>
              <w:bottom w:w="85" w:type="dxa"/>
              <w:end w:w="120" w:type="dxa"/>
            </w:tcMar>
            <w:vAlign w:val="center"/>
          </w:tcPr>
          <w:p>
            <w:pPr>
              <w:spacing w:after="0" w:line="259" w:lineRule="auto"/>
            </w:pPr>
            <w:r>
              <w:rPr>
                <w:rFonts w:ascii="Calibri" w:hAnsi="Calibri"/>
                <w:color w:val="1B2638"/>
                <w:sz w:val="17"/>
              </w:rPr>
              <w:t>Outbound communication</w:t>
            </w:r>
          </w:p>
        </w:tc>
        <w:tc>
          <w:tcPr>
            <w:tcW w:type="dxa" w:w="3460"/>
            <w:tcMar>
              <w:top w:w="85" w:type="dxa"/>
              <w:start w:w="120" w:type="dxa"/>
              <w:bottom w:w="85" w:type="dxa"/>
              <w:end w:w="120" w:type="dxa"/>
            </w:tcMar>
            <w:vAlign w:val="center"/>
          </w:tcPr>
          <w:p>
            <w:pPr>
              <w:spacing w:after="0" w:line="259" w:lineRule="auto"/>
            </w:pPr>
            <w:r>
              <w:rPr>
                <w:rFonts w:ascii="Calibri" w:hAnsi="Calibri"/>
                <w:color w:val="1B2638"/>
                <w:sz w:val="17"/>
              </w:rPr>
              <w:t>Label every harmful outcome SIMULATED; no email or network side effect is permitted.</w:t>
            </w:r>
          </w:p>
        </w:tc>
      </w:tr>
      <w:tr>
        <w:trPr>
          <w:cantSplit w:val="true"/>
        </w:trPr>
        <w:tc>
          <w:tcPr>
            <w:tcW w:type="dxa" w:w="1600"/>
            <w:tcMar>
              <w:top w:w="85" w:type="dxa"/>
              <w:start w:w="120" w:type="dxa"/>
              <w:bottom w:w="85" w:type="dxa"/>
              <w:end w:w="120" w:type="dxa"/>
            </w:tcMar>
            <w:vAlign w:val="center"/>
          </w:tcPr>
          <w:p>
            <w:pPr>
              <w:spacing w:after="0" w:line="259" w:lineRule="auto"/>
            </w:pPr>
            <w:r>
              <w:rPr>
                <w:rFonts w:ascii="Calibri" w:hAnsi="Calibri"/>
                <w:color w:val="1B2638"/>
                <w:sz w:val="17"/>
              </w:rPr>
              <w:t>Containment</w:t>
            </w:r>
          </w:p>
        </w:tc>
        <w:tc>
          <w:tcPr>
            <w:tcW w:type="dxa" w:w="2250"/>
            <w:tcMar>
              <w:top w:w="85" w:type="dxa"/>
              <w:start w:w="120" w:type="dxa"/>
              <w:bottom w:w="85" w:type="dxa"/>
              <w:end w:w="120" w:type="dxa"/>
            </w:tcMar>
            <w:vAlign w:val="center"/>
          </w:tcPr>
          <w:p>
            <w:pPr>
              <w:spacing w:after="0" w:line="259" w:lineRule="auto"/>
            </w:pPr>
            <w:r>
              <w:rPr>
                <w:rFonts w:ascii="Calibri" w:hAnsi="Calibri"/>
                <w:color w:val="1B2638"/>
                <w:sz w:val="17"/>
              </w:rPr>
              <w:t>Run-scoped store and retry enforcement</w:t>
            </w:r>
          </w:p>
        </w:tc>
        <w:tc>
          <w:tcPr>
            <w:tcW w:type="dxa" w:w="2050"/>
            <w:tcMar>
              <w:top w:w="85" w:type="dxa"/>
              <w:start w:w="120" w:type="dxa"/>
              <w:bottom w:w="85" w:type="dxa"/>
              <w:end w:w="120" w:type="dxa"/>
            </w:tcMar>
            <w:vAlign w:val="center"/>
          </w:tcPr>
          <w:p>
            <w:pPr>
              <w:spacing w:after="0" w:line="259" w:lineRule="auto"/>
            </w:pPr>
            <w:r>
              <w:rPr>
                <w:rFonts w:ascii="Calibri" w:hAnsi="Calibri"/>
                <w:color w:val="1B2638"/>
                <w:sz w:val="17"/>
              </w:rPr>
              <w:t>Tool identity trust</w:t>
            </w:r>
          </w:p>
        </w:tc>
        <w:tc>
          <w:tcPr>
            <w:tcW w:type="dxa" w:w="3460"/>
            <w:tcMar>
              <w:top w:w="85" w:type="dxa"/>
              <w:start w:w="120" w:type="dxa"/>
              <w:bottom w:w="85" w:type="dxa"/>
              <w:end w:w="120" w:type="dxa"/>
            </w:tcMar>
            <w:vAlign w:val="center"/>
          </w:tcPr>
          <w:p>
            <w:pPr>
              <w:spacing w:after="0" w:line="259" w:lineRule="auto"/>
            </w:pPr>
            <w:r>
              <w:rPr>
                <w:rFonts w:ascii="Calibri" w:hAnsi="Calibri"/>
                <w:color w:val="1B2638"/>
                <w:sz w:val="17"/>
              </w:rPr>
              <w:t>Do not claim process termination or persistence across later runs.</w:t>
            </w:r>
          </w:p>
        </w:tc>
      </w:tr>
    </w:tbl>
    <w:p>
      <w:pPr>
        <w:keepLines/>
        <w:spacing w:before="120" w:after="200" w:line="283" w:lineRule="auto"/>
        <w:ind w:left="173" w:right="115"/>
        <w:shd w:fill="FFF0F3" w:val="clear"/>
        <w:widowControl/>
        <w:pBdr>
          <w:left w:val="single" w:sz="28" w:space="8" w:color="A91835"/>
        </w:pBdr>
      </w:pPr>
      <w:r>
        <w:rPr>
          <w:rFonts w:ascii="Calibri" w:hAnsi="Calibri"/>
          <w:b/>
          <w:color w:val="A91835"/>
          <w:sz w:val="20"/>
        </w:rPr>
        <w:t xml:space="preserve">SAFETY INVARIANT  </w:t>
      </w:r>
      <w:r>
        <w:rPr>
          <w:rFonts w:ascii="Calibri" w:hAnsi="Calibri"/>
          <w:color w:val="1B2638"/>
          <w:sz w:val="21"/>
        </w:rPr>
        <w:t>Evil mode is a synthetic prompt-injection fixture. Database data is synthetic, email writes only to a unique per-run local outbox, the recipient uses .example, raw hostile payloads are not persisted by default, and no attack path may produce a real mail or network effect.</w:t>
      </w:r>
    </w:p>
    <w:p>
      <w:pPr>
        <w:widowControl/>
      </w:pPr>
      <w:r>
        <w:rPr>
          <w:rFonts w:ascii="Calibri" w:hAnsi="Calibri"/>
          <w:color w:val="1B2638"/>
          <w:sz w:val="22"/>
        </w:rPr>
        <w:t>Level 2 demonstrates an attack-specific result-admission prefilter plus containment. It is not evidence of general indirect-prompt-injection immunity. In Live mode, a model ignoring the attack is also not evidence that Gatekeeper blocked it; the UI must distinguish attack fired, Gatekeeper intervened, effect executed, and canonical story held.</w:t>
      </w:r>
    </w:p>
    <w:p>
      <w:pPr>
        <w:pStyle w:val="Heading1"/>
        <w:keepNext/>
        <w:widowControl/>
      </w:pPr>
      <w:r>
        <w:t>4. Live Demo UX: story first, debug on demand</w:t>
      </w:r>
    </w:p>
    <w:p>
      <w:pPr>
        <w:keepNext/>
        <w:widowControl/>
        <w:spacing w:after="80"/>
        <w:jc w:val="center"/>
      </w:pPr>
      <w:r>
        <w:drawing>
          <wp:inline xmlns:a="http://schemas.openxmlformats.org/drawingml/2006/main" xmlns:pic="http://schemas.openxmlformats.org/drawingml/2006/picture">
            <wp:extent cx="5897880" cy="3501866"/>
            <wp:docPr id="1" name="Picture 1" descr="Two-column Gatekeeper demo control room. The left security-flow graph shows user, local PartnerDesk orchestration, model context/provider, compromised MCP, database, email, three inline protections, an operator containment action, and an evidence rail. The right column shows a turn-grouped AI Events story timeline with Story, Security, and Debug density tabs." title="Revised Gatekeeper demo control room"/>
            <wp:cNvGraphicFramePr>
              <a:graphicFrameLocks noChangeAspect="1"/>
            </wp:cNvGraphicFramePr>
            <a:graphic>
              <a:graphicData uri="http://schemas.openxmlformats.org/drawingml/2006/picture">
                <pic:pic>
                  <pic:nvPicPr>
                    <pic:cNvPr id="0" name="control-room-v2.png"/>
                    <pic:cNvPicPr/>
                  </pic:nvPicPr>
                  <pic:blipFill>
                    <a:blip r:embed="rId18"/>
                    <a:stretch>
                      <a:fillRect/>
                    </a:stretch>
                  </pic:blipFill>
                  <pic:spPr>
                    <a:xfrm>
                      <a:off x="0" y="0"/>
                      <a:ext cx="5897880" cy="3501866"/>
                    </a:xfrm>
                    <a:prstGeom prst="rect"/>
                  </pic:spPr>
                </pic:pic>
              </a:graphicData>
            </a:graphic>
          </wp:inline>
        </w:drawing>
      </w:r>
    </w:p>
    <w:p>
      <w:pPr>
        <w:keepLines/>
        <w:widowControl/>
        <w:spacing w:after="200"/>
        <w:jc w:val="center"/>
      </w:pPr>
      <w:r>
        <w:rPr>
          <w:rFonts w:ascii="Calibri" w:hAnsi="Calibri"/>
          <w:i/>
          <w:color w:val="5F6B7A"/>
          <w:sz w:val="18"/>
        </w:rPr>
        <w:t>Figure 1. Revised two-column control room in the Full Protection scene.</w:t>
      </w:r>
    </w:p>
    <w:p>
      <w:pPr>
        <w:pStyle w:val="Heading2"/>
        <w:keepNext/>
        <w:widowControl/>
      </w:pPr>
      <w:r>
        <w:t>Left stage: causal flow, not a generic workflow</w:t>
      </w:r>
    </w:p>
    <w:p>
      <w:pPr>
        <w:pStyle w:val="ListBullet"/>
        <w:keepLines/>
        <w:widowControl/>
        <w:spacing w:after="80" w:line="290" w:lineRule="auto"/>
        <w:ind w:left="540" w:hanging="279"/>
      </w:pPr>
      <w:r>
        <w:rPr>
          <w:rFonts w:ascii="Calibri" w:hAnsi="Calibri"/>
          <w:color w:val="1B2638"/>
          <w:sz w:val="22"/>
        </w:rPr>
        <w:t>Keep the topology fixed and truthful: this is one agent with tools, not a reflected MAF workflow.</w:t>
      </w:r>
    </w:p>
    <w:p>
      <w:pPr>
        <w:pStyle w:val="ListBullet"/>
        <w:keepLines/>
        <w:widowControl/>
        <w:spacing w:after="80" w:line="290" w:lineRule="auto"/>
        <w:ind w:left="540" w:hanging="279"/>
      </w:pPr>
      <w:r>
        <w:rPr>
          <w:rFonts w:ascii="Calibri" w:hAnsi="Calibri"/>
          <w:color w:val="1B2638"/>
          <w:sz w:val="22"/>
        </w:rPr>
        <w:t>Put the result-admission, database-scope, and email-recipient protections physically inline before what they protect. Containment is an operator/source-control action, not a fourth identical shield.</w:t>
      </w:r>
    </w:p>
    <w:p>
      <w:pPr>
        <w:pStyle w:val="ListBullet"/>
        <w:keepLines/>
        <w:widowControl/>
        <w:spacing w:after="80" w:line="290" w:lineRule="auto"/>
        <w:ind w:left="540" w:hanging="279"/>
      </w:pPr>
      <w:r>
        <w:rPr>
          <w:rFonts w:ascii="Calibri" w:hAnsi="Calibri"/>
          <w:color w:val="1B2638"/>
          <w:sz w:val="22"/>
        </w:rPr>
        <w:t>Use separate request and response lanes, including Agent to User. Animate one labeled packet at a time; do not flash the whole graph.</w:t>
      </w:r>
    </w:p>
    <w:p>
      <w:pPr>
        <w:pStyle w:val="ListBullet"/>
        <w:keepLines/>
        <w:widowControl/>
        <w:spacing w:after="80" w:line="290" w:lineRule="auto"/>
        <w:ind w:left="540" w:hanging="279"/>
      </w:pPr>
      <w:r>
        <w:rPr>
          <w:rFonts w:ascii="Calibri" w:hAnsi="Calibri"/>
          <w:color w:val="1B2638"/>
          <w:sz w:val="22"/>
        </w:rPr>
        <w:t>A blocked packet stops at the protection. If Gatekeeper returns a bounded refusal, animate a distinct protection-to-model-context response so the audience sees that the agent may continue safely.</w:t>
      </w:r>
    </w:p>
    <w:p>
      <w:pPr>
        <w:pStyle w:val="ListBullet"/>
        <w:keepLines/>
        <w:widowControl/>
        <w:spacing w:after="80" w:line="290" w:lineRule="auto"/>
        <w:ind w:left="540" w:hanging="279"/>
      </w:pPr>
      <w:r>
        <w:rPr>
          <w:rFonts w:ascii="Calibri" w:hAnsi="Calibri"/>
          <w:color w:val="1B2638"/>
          <w:sz w:val="22"/>
        </w:rPr>
        <w:t>Keep disabled protections present but hollow and neutral so the topology never jumps when Gatekeeper is toggled.</w:t>
      </w:r>
    </w:p>
    <w:p>
      <w:pPr>
        <w:pStyle w:val="Heading2"/>
        <w:keepNext/>
        <w:widowControl/>
      </w:pPr>
      <w:r>
        <w:t>Right stage: Security Timeline and Debug</w:t>
      </w:r>
    </w:p>
    <w:p>
      <w:pPr>
        <w:widowControl/>
      </w:pPr>
      <w:r>
        <w:rPr>
          <w:rFonts w:ascii="Calibri" w:hAnsi="Calibri"/>
          <w:color w:val="1B2638"/>
          <w:sz w:val="22"/>
        </w:rPr>
        <w:t>The default AI Events view groups start/completion pairs by turn and correlation. Story shows only the decisive narrative. Security adds proposals, policy findings, executions, effects, containment, and oracle events. Debug exposes process lifecycle, structured logs, exceptions, stack summaries, diagnostic IDs, and Copy safe trace. An exception raises a banner linked to its correlated event without flooding the main story.</w:t>
      </w:r>
    </w:p>
    <w:p>
      <w:pPr>
        <w:pStyle w:val="ListBullet"/>
        <w:keepLines/>
        <w:widowControl/>
        <w:spacing w:after="80" w:line="290" w:lineRule="auto"/>
        <w:ind w:left="540" w:hanging="279"/>
      </w:pPr>
      <w:r>
        <w:rPr>
          <w:rFonts w:ascii="Calibri" w:hAnsi="Calibri"/>
          <w:color w:val="1B2638"/>
          <w:sz w:val="22"/>
        </w:rPr>
        <w:t>Scrolling away from the live tail shows an N new events pill; updates never steal keyboard focus.</w:t>
      </w:r>
    </w:p>
    <w:p>
      <w:pPr>
        <w:pStyle w:val="ListBullet"/>
        <w:keepLines/>
        <w:widowControl/>
        <w:spacing w:after="80" w:line="290" w:lineRule="auto"/>
        <w:ind w:left="540" w:hanging="279"/>
      </w:pPr>
      <w:r>
        <w:rPr>
          <w:rFonts w:ascii="Calibri" w:hAnsi="Calibri"/>
          <w:color w:val="1B2638"/>
          <w:sz w:val="22"/>
        </w:rPr>
        <w:t>Selecting an event focuses its route and evidence; selecting a node filters related events; selecting an arrow filters that interaction; Escape clears focus.</w:t>
      </w:r>
    </w:p>
    <w:p>
      <w:pPr>
        <w:pStyle w:val="Heading2"/>
        <w:keepNext/>
        <w:widowControl/>
      </w:pPr>
      <w:r>
        <w:t>Inspector and evidence rail</w:t>
      </w:r>
    </w:p>
    <w:p>
      <w:pPr>
        <w:widowControl/>
      </w:pPr>
      <w:r>
        <w:rPr>
          <w:rFonts w:ascii="Calibri" w:hAnsi="Calibri"/>
          <w:color w:val="1B2638"/>
          <w:sz w:val="22"/>
        </w:rPr>
        <w:t>Replace the narrow payload strip with a resizable lower drawer containing What, Why, Evidence, and Diagnostics. The always-visible evidence rail shows proposed calls, Gatekeeper findings, executions, effects, model-visible poison, containment, and oracle status. This makes the demonstration auditable even when animation is paused.</w:t>
      </w:r>
    </w:p>
    <w:p>
      <w:pPr>
        <w:pStyle w:val="Heading1"/>
        <w:keepNext/>
        <w:widowControl/>
      </w:pPr>
      <w:r>
        <w:t>5. Visual and interaction language</w:t>
      </w:r>
    </w:p>
    <w:p>
      <w:pPr>
        <w:keepLines/>
        <w:spacing w:before="120" w:after="200" w:line="283" w:lineRule="auto"/>
        <w:ind w:left="173" w:right="115"/>
        <w:shd w:fill="FFF4D6" w:val="clear"/>
        <w:widowControl/>
        <w:pBdr>
          <w:left w:val="single" w:sz="28" w:space="8" w:color="8A5A00"/>
        </w:pBdr>
      </w:pPr>
      <w:r>
        <w:rPr>
          <w:rFonts w:ascii="Calibri" w:hAnsi="Calibri"/>
          <w:b/>
          <w:color w:val="8A5A00"/>
          <w:sz w:val="20"/>
        </w:rPr>
        <w:t xml:space="preserve">TWO INDEPENDENT AXES  </w:t>
      </w:r>
      <w:r>
        <w:rPr>
          <w:rFonts w:ascii="Calibri" w:hAnsi="Calibri"/>
          <w:color w:val="1B2638"/>
          <w:sz w:val="21"/>
        </w:rPr>
        <w:t>Operational state and security disposition must never be collapsed. Completed is not the same as safe; no blocking finding is not proof of explicit approval.</w:t>
      </w:r>
    </w:p>
    <w:tbl>
      <w:tblPr>
        <w:tblStyle w:val="TableGrid"/>
        <w:tblW w:type="dxa" w:w="9360"/>
        <w:jc w:val="left"/>
        <w:tblLayout w:type="fixed"/>
        <w:tblLook w:firstColumn="1" w:firstRow="1" w:lastColumn="0" w:lastRow="0" w:noHBand="0" w:noVBand="1" w:val="04A0"/>
        <w:tblInd w:w="120" w:type="dxa"/>
        <w:tblBorders>
          <w:top w:val="single" w:sz="6" w:space="0" w:color="D8DEE7"/>
          <w:left w:val="single" w:sz="6" w:space="0" w:color="D8DEE7"/>
          <w:bottom w:val="single" w:sz="6" w:space="0" w:color="D8DEE7"/>
          <w:right w:val="single" w:sz="6" w:space="0" w:color="D8DEE7"/>
          <w:insideH w:val="single" w:sz="6" w:space="0" w:color="D8DEE7"/>
          <w:insideV w:val="single" w:sz="6" w:space="0" w:color="D8DEE7"/>
        </w:tblBorders>
      </w:tblPr>
      <w:tblGrid>
        <w:gridCol w:w="1900"/>
        <w:gridCol w:w="2900"/>
        <w:gridCol w:w="4560"/>
      </w:tblGrid>
      <w:tr>
        <w:trPr>
          <w:tblHeader w:val="true"/>
          <w:cantSplit w:val="true"/>
        </w:trPr>
        <w:tc>
          <w:tcPr>
            <w:tcW w:type="dxa" w:w="1900"/>
            <w:shd w:fill="E8F0FA" w:val="clear"/>
            <w:tcMar>
              <w:top w:w="85" w:type="dxa"/>
              <w:start w:w="120" w:type="dxa"/>
              <w:bottom w:w="85" w:type="dxa"/>
              <w:end w:w="120" w:type="dxa"/>
            </w:tcMar>
            <w:vAlign w:val="center"/>
          </w:tcPr>
          <w:p>
            <w:pPr>
              <w:spacing w:after="0"/>
            </w:pPr>
            <w:r>
              <w:rPr>
                <w:rFonts w:ascii="Calibri" w:hAnsi="Calibri"/>
                <w:b/>
                <w:color w:val="17365D"/>
                <w:sz w:val="19"/>
              </w:rPr>
              <w:t>Security disposition</w:t>
            </w:r>
          </w:p>
        </w:tc>
        <w:tc>
          <w:tcPr>
            <w:tcW w:type="dxa" w:w="2900"/>
            <w:shd w:fill="E8F0FA" w:val="clear"/>
            <w:tcMar>
              <w:top w:w="85" w:type="dxa"/>
              <w:start w:w="120" w:type="dxa"/>
              <w:bottom w:w="85" w:type="dxa"/>
              <w:end w:w="120" w:type="dxa"/>
            </w:tcMar>
            <w:vAlign w:val="center"/>
          </w:tcPr>
          <w:p>
            <w:pPr>
              <w:spacing w:after="0"/>
            </w:pPr>
            <w:r>
              <w:rPr>
                <w:rFonts w:ascii="Calibri" w:hAnsi="Calibri"/>
                <w:b/>
                <w:color w:val="17365D"/>
                <w:sz w:val="19"/>
              </w:rPr>
              <w:t>Treatment</w:t>
            </w:r>
          </w:p>
        </w:tc>
        <w:tc>
          <w:tcPr>
            <w:tcW w:type="dxa" w:w="4560"/>
            <w:shd w:fill="E8F0FA" w:val="clear"/>
            <w:tcMar>
              <w:top w:w="85" w:type="dxa"/>
              <w:start w:w="120" w:type="dxa"/>
              <w:bottom w:w="85" w:type="dxa"/>
              <w:end w:w="120" w:type="dxa"/>
            </w:tcMar>
            <w:vAlign w:val="center"/>
          </w:tcPr>
          <w:p>
            <w:pPr>
              <w:spacing w:after="0"/>
            </w:pPr>
            <w:r>
              <w:rPr>
                <w:rFonts w:ascii="Calibri" w:hAnsi="Calibri"/>
                <w:b/>
                <w:color w:val="17365D"/>
                <w:sz w:val="19"/>
              </w:rPr>
              <w:t>Exact meaning</w:t>
            </w:r>
          </w:p>
        </w:tc>
      </w:tr>
      <w:tr>
        <w:trPr>
          <w:cantSplit w:val="true"/>
        </w:trPr>
        <w:tc>
          <w:tcPr>
            <w:tcW w:type="dxa" w:w="1900"/>
            <w:tcMar>
              <w:top w:w="85" w:type="dxa"/>
              <w:start w:w="120" w:type="dxa"/>
              <w:bottom w:w="85" w:type="dxa"/>
              <w:end w:w="120" w:type="dxa"/>
            </w:tcMar>
            <w:vAlign w:val="center"/>
          </w:tcPr>
          <w:p>
            <w:pPr>
              <w:spacing w:after="0" w:line="259" w:lineRule="auto"/>
            </w:pPr>
            <w:r>
              <w:rPr>
                <w:rFonts w:ascii="Calibri" w:hAnsi="Calibri"/>
                <w:color w:val="1B2638"/>
                <w:sz w:val="17"/>
              </w:rPr>
              <w:t>Not evaluated</w:t>
            </w:r>
          </w:p>
        </w:tc>
        <w:tc>
          <w:tcPr>
            <w:tcW w:type="dxa" w:w="2900"/>
            <w:tcMar>
              <w:top w:w="85" w:type="dxa"/>
              <w:start w:w="120" w:type="dxa"/>
              <w:bottom w:w="85" w:type="dxa"/>
              <w:end w:w="120" w:type="dxa"/>
            </w:tcMar>
            <w:vAlign w:val="center"/>
          </w:tcPr>
          <w:p>
            <w:pPr>
              <w:spacing w:after="0" w:line="259" w:lineRule="auto"/>
            </w:pPr>
            <w:r>
              <w:rPr>
                <w:rFonts w:ascii="Calibri" w:hAnsi="Calibri"/>
                <w:color w:val="1B2638"/>
                <w:sz w:val="17"/>
              </w:rPr>
              <w:t>Neutral blue/gray</w:t>
            </w:r>
          </w:p>
        </w:tc>
        <w:tc>
          <w:tcPr>
            <w:tcW w:type="dxa" w:w="4560"/>
            <w:tcMar>
              <w:top w:w="85" w:type="dxa"/>
              <w:start w:w="120" w:type="dxa"/>
              <w:bottom w:w="85" w:type="dxa"/>
              <w:end w:w="120" w:type="dxa"/>
            </w:tcMar>
            <w:vAlign w:val="center"/>
          </w:tcPr>
          <w:p>
            <w:pPr>
              <w:spacing w:after="0" w:line="259" w:lineRule="auto"/>
            </w:pPr>
            <w:r>
              <w:rPr>
                <w:rFonts w:ascii="Calibri" w:hAnsi="Calibri"/>
                <w:color w:val="1B2638"/>
                <w:sz w:val="17"/>
              </w:rPr>
              <w:t>An operation completed or is configured, but no security judgment is asserted.</w:t>
            </w:r>
          </w:p>
        </w:tc>
      </w:tr>
      <w:tr>
        <w:trPr>
          <w:cantSplit w:val="true"/>
        </w:trPr>
        <w:tc>
          <w:tcPr>
            <w:tcW w:type="dxa" w:w="1900"/>
            <w:tcMar>
              <w:top w:w="85" w:type="dxa"/>
              <w:start w:w="120" w:type="dxa"/>
              <w:bottom w:w="85" w:type="dxa"/>
              <w:end w:w="120" w:type="dxa"/>
            </w:tcMar>
            <w:vAlign w:val="center"/>
          </w:tcPr>
          <w:p>
            <w:pPr>
              <w:spacing w:after="0" w:line="259" w:lineRule="auto"/>
            </w:pPr>
            <w:r>
              <w:rPr>
                <w:rFonts w:ascii="Calibri" w:hAnsi="Calibri"/>
                <w:color w:val="1B2638"/>
                <w:sz w:val="17"/>
              </w:rPr>
              <w:t>Untrusted</w:t>
            </w:r>
          </w:p>
        </w:tc>
        <w:tc>
          <w:tcPr>
            <w:tcW w:type="dxa" w:w="2900"/>
            <w:tcMar>
              <w:top w:w="85" w:type="dxa"/>
              <w:start w:w="120" w:type="dxa"/>
              <w:bottom w:w="85" w:type="dxa"/>
              <w:end w:w="120" w:type="dxa"/>
            </w:tcMar>
            <w:vAlign w:val="center"/>
          </w:tcPr>
          <w:p>
            <w:pPr>
              <w:spacing w:after="0" w:line="259" w:lineRule="auto"/>
            </w:pPr>
            <w:r>
              <w:rPr>
                <w:rFonts w:ascii="Calibri" w:hAnsi="Calibri"/>
                <w:color w:val="1B2638"/>
                <w:sz w:val="17"/>
              </w:rPr>
              <w:t>Purple source/payload</w:t>
            </w:r>
          </w:p>
        </w:tc>
        <w:tc>
          <w:tcPr>
            <w:tcW w:type="dxa" w:w="4560"/>
            <w:tcMar>
              <w:top w:w="85" w:type="dxa"/>
              <w:start w:w="120" w:type="dxa"/>
              <w:bottom w:w="85" w:type="dxa"/>
              <w:end w:w="120" w:type="dxa"/>
            </w:tcMar>
            <w:vAlign w:val="center"/>
          </w:tcPr>
          <w:p>
            <w:pPr>
              <w:spacing w:after="0" w:line="259" w:lineRule="auto"/>
            </w:pPr>
            <w:r>
              <w:rPr>
                <w:rFonts w:ascii="Calibri" w:hAnsi="Calibri"/>
                <w:color w:val="1B2638"/>
                <w:sz w:val="17"/>
              </w:rPr>
              <w:t>Third-party origin; not automatically malicious or blocked.</w:t>
            </w:r>
          </w:p>
        </w:tc>
      </w:tr>
      <w:tr>
        <w:trPr>
          <w:cantSplit w:val="true"/>
        </w:trPr>
        <w:tc>
          <w:tcPr>
            <w:tcW w:type="dxa" w:w="1900"/>
            <w:tcMar>
              <w:top w:w="85" w:type="dxa"/>
              <w:start w:w="120" w:type="dxa"/>
              <w:bottom w:w="85" w:type="dxa"/>
              <w:end w:w="120" w:type="dxa"/>
            </w:tcMar>
            <w:vAlign w:val="center"/>
          </w:tcPr>
          <w:p>
            <w:pPr>
              <w:spacing w:after="0" w:line="259" w:lineRule="auto"/>
            </w:pPr>
            <w:r>
              <w:rPr>
                <w:rFonts w:ascii="Calibri" w:hAnsi="Calibri"/>
                <w:color w:val="1B2638"/>
                <w:sz w:val="17"/>
              </w:rPr>
              <w:t>Scenario rule: risky</w:t>
            </w:r>
          </w:p>
        </w:tc>
        <w:tc>
          <w:tcPr>
            <w:tcW w:type="dxa" w:w="2900"/>
            <w:tcMar>
              <w:top w:w="85" w:type="dxa"/>
              <w:start w:w="120" w:type="dxa"/>
              <w:bottom w:w="85" w:type="dxa"/>
              <w:end w:w="120" w:type="dxa"/>
            </w:tcMar>
            <w:vAlign w:val="center"/>
          </w:tcPr>
          <w:p>
            <w:pPr>
              <w:spacing w:after="0" w:line="259" w:lineRule="auto"/>
            </w:pPr>
            <w:r>
              <w:rPr>
                <w:rFonts w:ascii="Calibri" w:hAnsi="Calibri"/>
                <w:color w:val="1B2638"/>
                <w:sz w:val="17"/>
              </w:rPr>
              <w:t>Amber/red hazard label</w:t>
            </w:r>
          </w:p>
        </w:tc>
        <w:tc>
          <w:tcPr>
            <w:tcW w:type="dxa" w:w="4560"/>
            <w:tcMar>
              <w:top w:w="85" w:type="dxa"/>
              <w:start w:w="120" w:type="dxa"/>
              <w:bottom w:w="85" w:type="dxa"/>
              <w:end w:w="120" w:type="dxa"/>
            </w:tcMar>
            <w:vAlign w:val="center"/>
          </w:tcPr>
          <w:p>
            <w:pPr>
              <w:spacing w:after="0" w:line="259" w:lineRule="auto"/>
            </w:pPr>
            <w:r>
              <w:rPr>
                <w:rFonts w:ascii="Calibri" w:hAnsi="Calibri"/>
                <w:color w:val="1B2638"/>
                <w:sz w:val="17"/>
              </w:rPr>
              <w:t>Shared scenario predicates classify bulk scope or external recipient, independent of Gatekeeper.</w:t>
            </w:r>
          </w:p>
        </w:tc>
      </w:tr>
      <w:tr>
        <w:trPr>
          <w:cantSplit w:val="true"/>
        </w:trPr>
        <w:tc>
          <w:tcPr>
            <w:tcW w:type="dxa" w:w="1900"/>
            <w:tcMar>
              <w:top w:w="85" w:type="dxa"/>
              <w:start w:w="120" w:type="dxa"/>
              <w:bottom w:w="85" w:type="dxa"/>
              <w:end w:w="120" w:type="dxa"/>
            </w:tcMar>
            <w:vAlign w:val="center"/>
          </w:tcPr>
          <w:p>
            <w:pPr>
              <w:spacing w:after="0" w:line="259" w:lineRule="auto"/>
            </w:pPr>
            <w:r>
              <w:rPr>
                <w:rFonts w:ascii="Calibri" w:hAnsi="Calibri"/>
                <w:color w:val="1B2638"/>
                <w:sz w:val="17"/>
              </w:rPr>
              <w:t>Gatekeeper blocked</w:t>
            </w:r>
          </w:p>
        </w:tc>
        <w:tc>
          <w:tcPr>
            <w:tcW w:type="dxa" w:w="2900"/>
            <w:tcMar>
              <w:top w:w="85" w:type="dxa"/>
              <w:start w:w="120" w:type="dxa"/>
              <w:bottom w:w="85" w:type="dxa"/>
              <w:end w:w="120" w:type="dxa"/>
            </w:tcMar>
            <w:vAlign w:val="center"/>
          </w:tcPr>
          <w:p>
            <w:pPr>
              <w:spacing w:after="0" w:line="259" w:lineRule="auto"/>
            </w:pPr>
            <w:r>
              <w:rPr>
                <w:rFonts w:ascii="Calibri" w:hAnsi="Calibri"/>
                <w:color w:val="1B2638"/>
                <w:sz w:val="17"/>
              </w:rPr>
              <w:t>Red dashed attempt stops at green protection + BLOCKED</w:t>
            </w:r>
          </w:p>
        </w:tc>
        <w:tc>
          <w:tcPr>
            <w:tcW w:type="dxa" w:w="4560"/>
            <w:tcMar>
              <w:top w:w="85" w:type="dxa"/>
              <w:start w:w="120" w:type="dxa"/>
              <w:bottom w:w="85" w:type="dxa"/>
              <w:end w:w="120" w:type="dxa"/>
            </w:tcMar>
            <w:vAlign w:val="center"/>
          </w:tcPr>
          <w:p>
            <w:pPr>
              <w:spacing w:after="0" w:line="259" w:lineRule="auto"/>
            </w:pPr>
            <w:r>
              <w:rPr>
                <w:rFonts w:ascii="Calibri" w:hAnsi="Calibri"/>
                <w:color w:val="1B2638"/>
                <w:sz w:val="17"/>
              </w:rPr>
              <w:t>A proposed operation did not execute.</w:t>
            </w:r>
          </w:p>
        </w:tc>
      </w:tr>
      <w:tr>
        <w:trPr>
          <w:cantSplit w:val="true"/>
        </w:trPr>
        <w:tc>
          <w:tcPr>
            <w:tcW w:type="dxa" w:w="1900"/>
            <w:tcMar>
              <w:top w:w="85" w:type="dxa"/>
              <w:start w:w="120" w:type="dxa"/>
              <w:bottom w:w="85" w:type="dxa"/>
              <w:end w:w="120" w:type="dxa"/>
            </w:tcMar>
            <w:vAlign w:val="center"/>
          </w:tcPr>
          <w:p>
            <w:pPr>
              <w:spacing w:after="0" w:line="259" w:lineRule="auto"/>
            </w:pPr>
            <w:r>
              <w:rPr>
                <w:rFonts w:ascii="Calibri" w:hAnsi="Calibri"/>
                <w:color w:val="1B2638"/>
                <w:sz w:val="17"/>
              </w:rPr>
              <w:t>Result withheld</w:t>
            </w:r>
          </w:p>
        </w:tc>
        <w:tc>
          <w:tcPr>
            <w:tcW w:type="dxa" w:w="2900"/>
            <w:tcMar>
              <w:top w:w="85" w:type="dxa"/>
              <w:start w:w="120" w:type="dxa"/>
              <w:bottom w:w="85" w:type="dxa"/>
              <w:end w:w="120" w:type="dxa"/>
            </w:tcMar>
            <w:vAlign w:val="center"/>
          </w:tcPr>
          <w:p>
            <w:pPr>
              <w:spacing w:after="0" w:line="259" w:lineRule="auto"/>
            </w:pPr>
            <w:r>
              <w:rPr>
                <w:rFonts w:ascii="Calibri" w:hAnsi="Calibri"/>
                <w:color w:val="1B2638"/>
                <w:sz w:val="17"/>
              </w:rPr>
              <w:t>Hostile packet ends at result protection + WITHHELD</w:t>
            </w:r>
          </w:p>
        </w:tc>
        <w:tc>
          <w:tcPr>
            <w:tcW w:type="dxa" w:w="4560"/>
            <w:tcMar>
              <w:top w:w="85" w:type="dxa"/>
              <w:start w:w="120" w:type="dxa"/>
              <w:bottom w:w="85" w:type="dxa"/>
              <w:end w:w="120" w:type="dxa"/>
            </w:tcMar>
            <w:vAlign w:val="center"/>
          </w:tcPr>
          <w:p>
            <w:pPr>
              <w:spacing w:after="0" w:line="259" w:lineRule="auto"/>
            </w:pPr>
            <w:r>
              <w:rPr>
                <w:rFonts w:ascii="Calibri" w:hAnsi="Calibri"/>
                <w:color w:val="1B2638"/>
                <w:sz w:val="17"/>
              </w:rPr>
              <w:t>Local inspection occurred; content never entered model-visible context.</w:t>
            </w:r>
          </w:p>
        </w:tc>
      </w:tr>
      <w:tr>
        <w:trPr>
          <w:cantSplit w:val="true"/>
        </w:trPr>
        <w:tc>
          <w:tcPr>
            <w:tcW w:type="dxa" w:w="1900"/>
            <w:tcMar>
              <w:top w:w="85" w:type="dxa"/>
              <w:start w:w="120" w:type="dxa"/>
              <w:bottom w:w="85" w:type="dxa"/>
              <w:end w:w="120" w:type="dxa"/>
            </w:tcMar>
            <w:vAlign w:val="center"/>
          </w:tcPr>
          <w:p>
            <w:pPr>
              <w:spacing w:after="0" w:line="259" w:lineRule="auto"/>
            </w:pPr>
            <w:r>
              <w:rPr>
                <w:rFonts w:ascii="Calibri" w:hAnsi="Calibri"/>
                <w:color w:val="1B2638"/>
                <w:sz w:val="17"/>
              </w:rPr>
              <w:t>Violation executed</w:t>
            </w:r>
          </w:p>
        </w:tc>
        <w:tc>
          <w:tcPr>
            <w:tcW w:type="dxa" w:w="2900"/>
            <w:tcMar>
              <w:top w:w="85" w:type="dxa"/>
              <w:start w:w="120" w:type="dxa"/>
              <w:bottom w:w="85" w:type="dxa"/>
              <w:end w:w="120" w:type="dxa"/>
            </w:tcMar>
            <w:vAlign w:val="center"/>
          </w:tcPr>
          <w:p>
            <w:pPr>
              <w:spacing w:after="0" w:line="259" w:lineRule="auto"/>
            </w:pPr>
            <w:r>
              <w:rPr>
                <w:rFonts w:ascii="Calibri" w:hAnsi="Calibri"/>
                <w:color w:val="1B2638"/>
                <w:sz w:val="17"/>
              </w:rPr>
              <w:t>Solid red route + SIMULATED EFFECT</w:t>
            </w:r>
          </w:p>
        </w:tc>
        <w:tc>
          <w:tcPr>
            <w:tcW w:type="dxa" w:w="4560"/>
            <w:tcMar>
              <w:top w:w="85" w:type="dxa"/>
              <w:start w:w="120" w:type="dxa"/>
              <w:bottom w:w="85" w:type="dxa"/>
              <w:end w:w="120" w:type="dxa"/>
            </w:tcMar>
            <w:vAlign w:val="center"/>
          </w:tcPr>
          <w:p>
            <w:pPr>
              <w:spacing w:after="0" w:line="259" w:lineRule="auto"/>
            </w:pPr>
            <w:r>
              <w:rPr>
                <w:rFonts w:ascii="Calibri" w:hAnsi="Calibri"/>
                <w:color w:val="1B2638"/>
                <w:sz w:val="17"/>
              </w:rPr>
              <w:t>The ledger confirms the prohibited synthetic effect occurred.</w:t>
            </w:r>
          </w:p>
        </w:tc>
      </w:tr>
      <w:tr>
        <w:trPr>
          <w:cantSplit w:val="true"/>
        </w:trPr>
        <w:tc>
          <w:tcPr>
            <w:tcW w:type="dxa" w:w="1900"/>
            <w:tcMar>
              <w:top w:w="85" w:type="dxa"/>
              <w:start w:w="120" w:type="dxa"/>
              <w:bottom w:w="85" w:type="dxa"/>
              <w:end w:w="120" w:type="dxa"/>
            </w:tcMar>
            <w:vAlign w:val="center"/>
          </w:tcPr>
          <w:p>
            <w:pPr>
              <w:spacing w:after="0" w:line="259" w:lineRule="auto"/>
            </w:pPr>
            <w:r>
              <w:rPr>
                <w:rFonts w:ascii="Calibri" w:hAnsi="Calibri"/>
                <w:color w:val="1B2638"/>
                <w:sz w:val="17"/>
              </w:rPr>
              <w:t>Policy-compliant</w:t>
            </w:r>
          </w:p>
        </w:tc>
        <w:tc>
          <w:tcPr>
            <w:tcW w:type="dxa" w:w="2900"/>
            <w:tcMar>
              <w:top w:w="85" w:type="dxa"/>
              <w:start w:w="120" w:type="dxa"/>
              <w:bottom w:w="85" w:type="dxa"/>
              <w:end w:w="120" w:type="dxa"/>
            </w:tcMar>
            <w:vAlign w:val="center"/>
          </w:tcPr>
          <w:p>
            <w:pPr>
              <w:spacing w:after="0" w:line="259" w:lineRule="auto"/>
            </w:pPr>
            <w:r>
              <w:rPr>
                <w:rFonts w:ascii="Calibri" w:hAnsi="Calibri"/>
                <w:color w:val="1B2638"/>
                <w:sz w:val="17"/>
              </w:rPr>
              <w:t>Green only with named decision source</w:t>
            </w:r>
          </w:p>
        </w:tc>
        <w:tc>
          <w:tcPr>
            <w:tcW w:type="dxa" w:w="4560"/>
            <w:tcMar>
              <w:top w:w="85" w:type="dxa"/>
              <w:start w:w="120" w:type="dxa"/>
              <w:bottom w:w="85" w:type="dxa"/>
              <w:end w:w="120" w:type="dxa"/>
            </w:tcMar>
            <w:vAlign w:val="center"/>
          </w:tcPr>
          <w:p>
            <w:pPr>
              <w:spacing w:after="0" w:line="259" w:lineRule="auto"/>
            </w:pPr>
            <w:r>
              <w:rPr>
                <w:rFonts w:ascii="Calibri" w:hAnsi="Calibri"/>
                <w:color w:val="1B2638"/>
                <w:sz w:val="17"/>
              </w:rPr>
              <w:t>An explicit policy or canonical oracle supports the claim; never inferred from absence.</w:t>
            </w:r>
          </w:p>
        </w:tc>
      </w:tr>
      <w:tr>
        <w:trPr>
          <w:cantSplit w:val="true"/>
        </w:trPr>
        <w:tc>
          <w:tcPr>
            <w:tcW w:type="dxa" w:w="1900"/>
            <w:tcMar>
              <w:top w:w="85" w:type="dxa"/>
              <w:start w:w="120" w:type="dxa"/>
              <w:bottom w:w="85" w:type="dxa"/>
              <w:end w:w="120" w:type="dxa"/>
            </w:tcMar>
            <w:vAlign w:val="center"/>
          </w:tcPr>
          <w:p>
            <w:pPr>
              <w:spacing w:after="0" w:line="259" w:lineRule="auto"/>
            </w:pPr>
            <w:r>
              <w:rPr>
                <w:rFonts w:ascii="Calibri" w:hAnsi="Calibri"/>
                <w:color w:val="1B2638"/>
                <w:sz w:val="17"/>
              </w:rPr>
              <w:t>Failure/cancelled</w:t>
            </w:r>
          </w:p>
        </w:tc>
        <w:tc>
          <w:tcPr>
            <w:tcW w:type="dxa" w:w="2900"/>
            <w:tcMar>
              <w:top w:w="85" w:type="dxa"/>
              <w:start w:w="120" w:type="dxa"/>
              <w:bottom w:w="85" w:type="dxa"/>
              <w:end w:w="120" w:type="dxa"/>
            </w:tcMar>
            <w:vAlign w:val="center"/>
          </w:tcPr>
          <w:p>
            <w:pPr>
              <w:spacing w:after="0" w:line="259" w:lineRule="auto"/>
            </w:pPr>
            <w:r>
              <w:rPr>
                <w:rFonts w:ascii="Calibri" w:hAnsi="Calibri"/>
                <w:color w:val="1B2638"/>
                <w:sz w:val="17"/>
              </w:rPr>
              <w:t>Error/cancel badge, not misuse styling</w:t>
            </w:r>
          </w:p>
        </w:tc>
        <w:tc>
          <w:tcPr>
            <w:tcW w:type="dxa" w:w="4560"/>
            <w:tcMar>
              <w:top w:w="85" w:type="dxa"/>
              <w:start w:w="120" w:type="dxa"/>
              <w:bottom w:w="85" w:type="dxa"/>
              <w:end w:w="120" w:type="dxa"/>
            </w:tcMar>
            <w:vAlign w:val="center"/>
          </w:tcPr>
          <w:p>
            <w:pPr>
              <w:spacing w:after="0" w:line="259" w:lineRule="auto"/>
            </w:pPr>
            <w:r>
              <w:rPr>
                <w:rFonts w:ascii="Calibri" w:hAnsi="Calibri"/>
                <w:color w:val="1B2638"/>
                <w:sz w:val="17"/>
              </w:rPr>
              <w:t>Operational failure is distinct from a security violation or block.</w:t>
            </w:r>
          </w:p>
        </w:tc>
      </w:tr>
    </w:tbl>
    <w:p>
      <w:pPr>
        <w:widowControl/>
      </w:pPr>
      <w:r>
        <w:rPr>
          <w:rFonts w:ascii="Calibri" w:hAnsi="Calibri"/>
          <w:color w:val="1B2638"/>
          <w:sz w:val="22"/>
        </w:rPr>
        <w:t>Operational state uses Idle, Starting, Running, Awaiting checkpoint, Cancelling, Cleaning, Completed, Failed, and Cancelled. Working labels must be concrete: Model request in flight, Agent awaiting response, Tool working, or Gate evaluating. Hidden chain-of-thought is never displayed or invented.</w:t>
      </w:r>
    </w:p>
    <w:p>
      <w:pPr>
        <w:pStyle w:val="Heading2"/>
        <w:keepNext/>
        <w:widowControl/>
      </w:pPr>
      <w:r>
        <w:t>Animation and accessible equivalence</w:t>
      </w:r>
    </w:p>
    <w:p>
      <w:pPr>
        <w:pStyle w:val="ListBullet"/>
        <w:keepLines/>
        <w:widowControl/>
        <w:spacing w:after="80" w:line="290" w:lineRule="auto"/>
        <w:ind w:left="540" w:hanging="279"/>
      </w:pPr>
      <w:r>
        <w:rPr>
          <w:rFonts w:ascii="Calibri" w:hAnsi="Calibri"/>
          <w:color w:val="1B2638"/>
          <w:sz w:val="22"/>
        </w:rPr>
        <w:t>Direction is carried by arrowheads, packet motion, source/destination labels, and a textual event - never color alone.</w:t>
      </w:r>
    </w:p>
    <w:p>
      <w:pPr>
        <w:pStyle w:val="ListBullet"/>
        <w:keepLines/>
        <w:widowControl/>
        <w:spacing w:after="80" w:line="290" w:lineRule="auto"/>
        <w:ind w:left="540" w:hanging="279"/>
      </w:pPr>
      <w:r>
        <w:rPr>
          <w:rFonts w:ascii="Calibri" w:hAnsi="Calibri"/>
          <w:color w:val="1B2638"/>
          <w:sz w:val="22"/>
        </w:rPr>
        <w:t>Reduced-motion mode replaces travel with discrete source-active, boundary-decision, and destination-complete states.</w:t>
      </w:r>
    </w:p>
    <w:p>
      <w:pPr>
        <w:pStyle w:val="ListBullet"/>
        <w:keepLines/>
        <w:widowControl/>
        <w:spacing w:after="80" w:line="290" w:lineRule="auto"/>
        <w:ind w:left="540" w:hanging="279"/>
      </w:pPr>
      <w:r>
        <w:rPr>
          <w:rFonts w:ascii="Calibri" w:hAnsi="Calibri"/>
          <w:color w:val="1B2638"/>
          <w:sz w:val="22"/>
        </w:rPr>
        <w:t>Provide high-contrast theme, keyboard presenter flow, visible focus, 125%/150% scaling, and a nonanimated textual run summary equivalent to the graph.</w:t>
      </w:r>
    </w:p>
    <w:p>
      <w:pPr>
        <w:pStyle w:val="ListBullet"/>
        <w:keepLines/>
        <w:widowControl/>
        <w:spacing w:after="80" w:line="290" w:lineRule="auto"/>
        <w:ind w:left="540" w:hanging="279"/>
      </w:pPr>
      <w:r>
        <w:rPr>
          <w:rFonts w:ascii="Calibri" w:hAnsi="Calibri"/>
          <w:color w:val="1B2638"/>
          <w:sz w:val="22"/>
        </w:rPr>
        <w:t>Accessible names include source, destination, disposition, and execution status. Screen-reader announcements are user-controlled so rapid events are not all spoken.</w:t>
      </w:r>
    </w:p>
    <w:p>
      <w:pPr>
        <w:pStyle w:val="Heading1"/>
        <w:keepNext/>
        <w:widowControl/>
      </w:pPr>
      <w:r>
        <w:t>6. Canonical presets, protections, and comparison</w:t>
      </w:r>
    </w:p>
    <w:tbl>
      <w:tblPr>
        <w:tblStyle w:val="TableGrid"/>
        <w:tblW w:type="dxa" w:w="9360"/>
        <w:jc w:val="left"/>
        <w:tblLayout w:type="fixed"/>
        <w:tblLook w:firstColumn="1" w:firstRow="1" w:lastColumn="0" w:lastRow="0" w:noHBand="0" w:noVBand="1" w:val="04A0"/>
        <w:tblInd w:w="120" w:type="dxa"/>
        <w:tblBorders>
          <w:top w:val="single" w:sz="6" w:space="0" w:color="D8DEE7"/>
          <w:left w:val="single" w:sz="6" w:space="0" w:color="D8DEE7"/>
          <w:bottom w:val="single" w:sz="6" w:space="0" w:color="D8DEE7"/>
          <w:right w:val="single" w:sz="6" w:space="0" w:color="D8DEE7"/>
          <w:insideH w:val="single" w:sz="6" w:space="0" w:color="D8DEE7"/>
          <w:insideV w:val="single" w:sz="6" w:space="0" w:color="D8DEE7"/>
        </w:tblBorders>
      </w:tblPr>
      <w:tblGrid>
        <w:gridCol w:w="1250"/>
        <w:gridCol w:w="1900"/>
        <w:gridCol w:w="2850"/>
        <w:gridCol w:w="3360"/>
      </w:tblGrid>
      <w:tr>
        <w:trPr>
          <w:tblHeader w:val="true"/>
          <w:cantSplit w:val="true"/>
        </w:trPr>
        <w:tc>
          <w:tcPr>
            <w:tcW w:type="dxa" w:w="1250"/>
            <w:shd w:fill="E8F0FA" w:val="clear"/>
            <w:tcMar>
              <w:top w:w="85" w:type="dxa"/>
              <w:start w:w="120" w:type="dxa"/>
              <w:bottom w:w="85" w:type="dxa"/>
              <w:end w:w="120" w:type="dxa"/>
            </w:tcMar>
            <w:vAlign w:val="center"/>
          </w:tcPr>
          <w:p>
            <w:pPr>
              <w:spacing w:after="0"/>
            </w:pPr>
            <w:r>
              <w:rPr>
                <w:rFonts w:ascii="Calibri" w:hAnsi="Calibri"/>
                <w:b/>
                <w:color w:val="17365D"/>
                <w:sz w:val="19"/>
              </w:rPr>
              <w:t>Preset</w:t>
            </w:r>
          </w:p>
        </w:tc>
        <w:tc>
          <w:tcPr>
            <w:tcW w:type="dxa" w:w="1900"/>
            <w:shd w:fill="E8F0FA" w:val="clear"/>
            <w:tcMar>
              <w:top w:w="85" w:type="dxa"/>
              <w:start w:w="120" w:type="dxa"/>
              <w:bottom w:w="85" w:type="dxa"/>
              <w:end w:w="120" w:type="dxa"/>
            </w:tcMar>
            <w:vAlign w:val="center"/>
          </w:tcPr>
          <w:p>
            <w:pPr>
              <w:spacing w:after="0"/>
            </w:pPr>
            <w:r>
              <w:rPr>
                <w:rFonts w:ascii="Calibri" w:hAnsi="Calibri"/>
                <w:b/>
                <w:color w:val="17365D"/>
                <w:sz w:val="19"/>
              </w:rPr>
              <w:t>Plain-language name</w:t>
            </w:r>
          </w:p>
        </w:tc>
        <w:tc>
          <w:tcPr>
            <w:tcW w:type="dxa" w:w="2850"/>
            <w:shd w:fill="E8F0FA" w:val="clear"/>
            <w:tcMar>
              <w:top w:w="85" w:type="dxa"/>
              <w:start w:w="120" w:type="dxa"/>
              <w:bottom w:w="85" w:type="dxa"/>
              <w:end w:w="120" w:type="dxa"/>
            </w:tcMar>
            <w:vAlign w:val="center"/>
          </w:tcPr>
          <w:p>
            <w:pPr>
              <w:spacing w:after="0"/>
            </w:pPr>
            <w:r>
              <w:rPr>
                <w:rFonts w:ascii="Calibri" w:hAnsi="Calibri"/>
                <w:b/>
                <w:color w:val="17365D"/>
                <w:sz w:val="19"/>
              </w:rPr>
              <w:t>Protections</w:t>
            </w:r>
          </w:p>
        </w:tc>
        <w:tc>
          <w:tcPr>
            <w:tcW w:type="dxa" w:w="3360"/>
            <w:shd w:fill="E8F0FA" w:val="clear"/>
            <w:tcMar>
              <w:top w:w="85" w:type="dxa"/>
              <w:start w:w="120" w:type="dxa"/>
              <w:bottom w:w="85" w:type="dxa"/>
              <w:end w:w="120" w:type="dxa"/>
            </w:tcMar>
            <w:vAlign w:val="center"/>
          </w:tcPr>
          <w:p>
            <w:pPr>
              <w:spacing w:after="0"/>
            </w:pPr>
            <w:r>
              <w:rPr>
                <w:rFonts w:ascii="Calibri" w:hAnsi="Calibri"/>
                <w:b/>
                <w:color w:val="17365D"/>
                <w:sz w:val="19"/>
              </w:rPr>
              <w:t>Canonical evidence</w:t>
            </w:r>
          </w:p>
        </w:tc>
      </w:tr>
      <w:tr>
        <w:trPr>
          <w:cantSplit w:val="true"/>
        </w:trPr>
        <w:tc>
          <w:tcPr>
            <w:tcW w:type="dxa" w:w="1250"/>
            <w:tcMar>
              <w:top w:w="85" w:type="dxa"/>
              <w:start w:w="120" w:type="dxa"/>
              <w:bottom w:w="85" w:type="dxa"/>
              <w:end w:w="120" w:type="dxa"/>
            </w:tcMar>
            <w:vAlign w:val="center"/>
          </w:tcPr>
          <w:p>
            <w:pPr>
              <w:spacing w:after="0" w:line="259" w:lineRule="auto"/>
            </w:pPr>
            <w:r>
              <w:rPr>
                <w:rFonts w:ascii="Calibri" w:hAnsi="Calibri"/>
                <w:color w:val="1B2638"/>
                <w:sz w:val="17"/>
              </w:rPr>
              <w:t>Phase 1</w:t>
            </w:r>
          </w:p>
        </w:tc>
        <w:tc>
          <w:tcPr>
            <w:tcW w:type="dxa" w:w="1900"/>
            <w:tcMar>
              <w:top w:w="85" w:type="dxa"/>
              <w:start w:w="120" w:type="dxa"/>
              <w:bottom w:w="85" w:type="dxa"/>
              <w:end w:w="120" w:type="dxa"/>
            </w:tcMar>
            <w:vAlign w:val="center"/>
          </w:tcPr>
          <w:p>
            <w:pPr>
              <w:spacing w:after="0" w:line="259" w:lineRule="auto"/>
            </w:pPr>
            <w:r>
              <w:rPr>
                <w:rFonts w:ascii="Calibri" w:hAnsi="Calibri"/>
                <w:color w:val="1B2638"/>
                <w:sz w:val="17"/>
              </w:rPr>
              <w:t>Clean baseline</w:t>
            </w:r>
          </w:p>
        </w:tc>
        <w:tc>
          <w:tcPr>
            <w:tcW w:type="dxa" w:w="2850"/>
            <w:tcMar>
              <w:top w:w="85" w:type="dxa"/>
              <w:start w:w="120" w:type="dxa"/>
              <w:bottom w:w="85" w:type="dxa"/>
              <w:end w:w="120" w:type="dxa"/>
            </w:tcMar>
            <w:vAlign w:val="center"/>
          </w:tcPr>
          <w:p>
            <w:pPr>
              <w:spacing w:after="0" w:line="259" w:lineRule="auto"/>
            </w:pPr>
            <w:r>
              <w:rPr>
                <w:rFonts w:ascii="Calibri" w:hAnsi="Calibri"/>
                <w:color w:val="1B2638"/>
                <w:sz w:val="17"/>
              </w:rPr>
              <w:t>Off</w:t>
            </w:r>
          </w:p>
        </w:tc>
        <w:tc>
          <w:tcPr>
            <w:tcW w:type="dxa" w:w="3360"/>
            <w:tcMar>
              <w:top w:w="85" w:type="dxa"/>
              <w:start w:w="120" w:type="dxa"/>
              <w:bottom w:w="85" w:type="dxa"/>
              <w:end w:w="120" w:type="dxa"/>
            </w:tcMar>
            <w:vAlign w:val="center"/>
          </w:tcPr>
          <w:p>
            <w:pPr>
              <w:spacing w:after="0" w:line="259" w:lineRule="auto"/>
            </w:pPr>
            <w:r>
              <w:rPr>
                <w:rFonts w:ascii="Calibri" w:hAnsi="Calibri"/>
                <w:color w:val="1B2638"/>
                <w:sz w:val="17"/>
              </w:rPr>
              <w:t>Clean report; one partner lookup; internal email; answer returned.</w:t>
            </w:r>
          </w:p>
        </w:tc>
      </w:tr>
      <w:tr>
        <w:trPr>
          <w:cantSplit w:val="true"/>
        </w:trPr>
        <w:tc>
          <w:tcPr>
            <w:tcW w:type="dxa" w:w="1250"/>
            <w:tcMar>
              <w:top w:w="85" w:type="dxa"/>
              <w:start w:w="120" w:type="dxa"/>
              <w:bottom w:w="85" w:type="dxa"/>
              <w:end w:w="120" w:type="dxa"/>
            </w:tcMar>
            <w:vAlign w:val="center"/>
          </w:tcPr>
          <w:p>
            <w:pPr>
              <w:spacing w:after="0" w:line="259" w:lineRule="auto"/>
            </w:pPr>
            <w:r>
              <w:rPr>
                <w:rFonts w:ascii="Calibri" w:hAnsi="Calibri"/>
                <w:color w:val="1B2638"/>
                <w:sz w:val="17"/>
              </w:rPr>
              <w:t>Phase 2</w:t>
            </w:r>
          </w:p>
        </w:tc>
        <w:tc>
          <w:tcPr>
            <w:tcW w:type="dxa" w:w="1900"/>
            <w:tcMar>
              <w:top w:w="85" w:type="dxa"/>
              <w:start w:w="120" w:type="dxa"/>
              <w:bottom w:w="85" w:type="dxa"/>
              <w:end w:w="120" w:type="dxa"/>
            </w:tcMar>
            <w:vAlign w:val="center"/>
          </w:tcPr>
          <w:p>
            <w:pPr>
              <w:spacing w:after="0" w:line="259" w:lineRule="auto"/>
            </w:pPr>
            <w:r>
              <w:rPr>
                <w:rFonts w:ascii="Calibri" w:hAnsi="Calibri"/>
                <w:color w:val="1B2638"/>
                <w:sz w:val="17"/>
              </w:rPr>
              <w:t>Attack succeeds</w:t>
            </w:r>
          </w:p>
        </w:tc>
        <w:tc>
          <w:tcPr>
            <w:tcW w:type="dxa" w:w="2850"/>
            <w:tcMar>
              <w:top w:w="85" w:type="dxa"/>
              <w:start w:w="120" w:type="dxa"/>
              <w:bottom w:w="85" w:type="dxa"/>
              <w:end w:w="120" w:type="dxa"/>
            </w:tcMar>
            <w:vAlign w:val="center"/>
          </w:tcPr>
          <w:p>
            <w:pPr>
              <w:spacing w:after="0" w:line="259" w:lineRule="auto"/>
            </w:pPr>
            <w:r>
              <w:rPr>
                <w:rFonts w:ascii="Calibri" w:hAnsi="Calibri"/>
                <w:color w:val="1B2638"/>
                <w:sz w:val="17"/>
              </w:rPr>
              <w:t>Off</w:t>
            </w:r>
          </w:p>
        </w:tc>
        <w:tc>
          <w:tcPr>
            <w:tcW w:type="dxa" w:w="3360"/>
            <w:tcMar>
              <w:top w:w="85" w:type="dxa"/>
              <w:start w:w="120" w:type="dxa"/>
              <w:bottom w:w="85" w:type="dxa"/>
              <w:end w:w="120" w:type="dxa"/>
            </w:tcMar>
            <w:vAlign w:val="center"/>
          </w:tcPr>
          <w:p>
            <w:pPr>
              <w:spacing w:after="0" w:line="259" w:lineRule="auto"/>
            </w:pPr>
            <w:r>
              <w:rPr>
                <w:rFonts w:ascii="Calibri" w:hAnsi="Calibri"/>
                <w:color w:val="1B2638"/>
                <w:sz w:val="17"/>
              </w:rPr>
              <w:t>Poison model-visible; bulk read and external local-outbox effect execute.</w:t>
            </w:r>
          </w:p>
        </w:tc>
      </w:tr>
      <w:tr>
        <w:trPr>
          <w:cantSplit w:val="true"/>
        </w:trPr>
        <w:tc>
          <w:tcPr>
            <w:tcW w:type="dxa" w:w="1250"/>
            <w:tcMar>
              <w:top w:w="85" w:type="dxa"/>
              <w:start w:w="120" w:type="dxa"/>
              <w:bottom w:w="85" w:type="dxa"/>
              <w:end w:w="120" w:type="dxa"/>
            </w:tcMar>
            <w:vAlign w:val="center"/>
          </w:tcPr>
          <w:p>
            <w:pPr>
              <w:spacing w:after="0" w:line="259" w:lineRule="auto"/>
            </w:pPr>
            <w:r>
              <w:rPr>
                <w:rFonts w:ascii="Calibri" w:hAnsi="Calibri"/>
                <w:color w:val="1B2638"/>
                <w:sz w:val="17"/>
              </w:rPr>
              <w:t>Phase 3</w:t>
            </w:r>
          </w:p>
        </w:tc>
        <w:tc>
          <w:tcPr>
            <w:tcW w:type="dxa" w:w="1900"/>
            <w:tcMar>
              <w:top w:w="85" w:type="dxa"/>
              <w:start w:w="120" w:type="dxa"/>
              <w:bottom w:w="85" w:type="dxa"/>
              <w:end w:w="120" w:type="dxa"/>
            </w:tcMar>
            <w:vAlign w:val="center"/>
          </w:tcPr>
          <w:p>
            <w:pPr>
              <w:spacing w:after="0" w:line="259" w:lineRule="auto"/>
            </w:pPr>
            <w:r>
              <w:rPr>
                <w:rFonts w:ascii="Calibri" w:hAnsi="Calibri"/>
                <w:color w:val="1B2638"/>
                <w:sz w:val="17"/>
              </w:rPr>
              <w:t>Effects blocked</w:t>
            </w:r>
          </w:p>
        </w:tc>
        <w:tc>
          <w:tcPr>
            <w:tcW w:type="dxa" w:w="2850"/>
            <w:tcMar>
              <w:top w:w="85" w:type="dxa"/>
              <w:start w:w="120" w:type="dxa"/>
              <w:bottom w:w="85" w:type="dxa"/>
              <w:end w:w="120" w:type="dxa"/>
            </w:tcMar>
            <w:vAlign w:val="center"/>
          </w:tcPr>
          <w:p>
            <w:pPr>
              <w:spacing w:after="0" w:line="259" w:lineRule="auto"/>
            </w:pPr>
            <w:r>
              <w:rPr>
                <w:rFonts w:ascii="Calibri" w:hAnsi="Calibri"/>
                <w:color w:val="1B2638"/>
                <w:sz w:val="17"/>
              </w:rPr>
              <w:t>DB scope + email recipient</w:t>
            </w:r>
          </w:p>
        </w:tc>
        <w:tc>
          <w:tcPr>
            <w:tcW w:type="dxa" w:w="3360"/>
            <w:tcMar>
              <w:top w:w="85" w:type="dxa"/>
              <w:start w:w="120" w:type="dxa"/>
              <w:bottom w:w="85" w:type="dxa"/>
              <w:end w:w="120" w:type="dxa"/>
            </w:tcMar>
            <w:vAlign w:val="center"/>
          </w:tcPr>
          <w:p>
            <w:pPr>
              <w:spacing w:after="0" w:line="259" w:lineRule="auto"/>
            </w:pPr>
            <w:r>
              <w:rPr>
                <w:rFonts w:ascii="Calibri" w:hAnsi="Calibri"/>
                <w:color w:val="1B2638"/>
                <w:sz w:val="17"/>
              </w:rPr>
              <w:t>Unsafe proposals recorded; both protected effects remain zero.</w:t>
            </w:r>
          </w:p>
        </w:tc>
      </w:tr>
      <w:tr>
        <w:trPr>
          <w:cantSplit w:val="true"/>
        </w:trPr>
        <w:tc>
          <w:tcPr>
            <w:tcW w:type="dxa" w:w="1250"/>
            <w:tcMar>
              <w:top w:w="85" w:type="dxa"/>
              <w:start w:w="120" w:type="dxa"/>
              <w:bottom w:w="85" w:type="dxa"/>
              <w:end w:w="120" w:type="dxa"/>
            </w:tcMar>
            <w:vAlign w:val="center"/>
          </w:tcPr>
          <w:p>
            <w:pPr>
              <w:spacing w:after="0" w:line="259" w:lineRule="auto"/>
            </w:pPr>
            <w:r>
              <w:rPr>
                <w:rFonts w:ascii="Calibri" w:hAnsi="Calibri"/>
                <w:color w:val="1B2638"/>
                <w:sz w:val="17"/>
              </w:rPr>
              <w:t>Phase 4</w:t>
            </w:r>
          </w:p>
        </w:tc>
        <w:tc>
          <w:tcPr>
            <w:tcW w:type="dxa" w:w="1900"/>
            <w:tcMar>
              <w:top w:w="85" w:type="dxa"/>
              <w:start w:w="120" w:type="dxa"/>
              <w:bottom w:w="85" w:type="dxa"/>
              <w:end w:w="120" w:type="dxa"/>
            </w:tcMar>
            <w:vAlign w:val="center"/>
          </w:tcPr>
          <w:p>
            <w:pPr>
              <w:spacing w:after="0" w:line="259" w:lineRule="auto"/>
            </w:pPr>
            <w:r>
              <w:rPr>
                <w:rFonts w:ascii="Calibri" w:hAnsi="Calibri"/>
                <w:color w:val="1B2638"/>
                <w:sz w:val="17"/>
              </w:rPr>
              <w:t>Injection blocked + contained</w:t>
            </w:r>
          </w:p>
        </w:tc>
        <w:tc>
          <w:tcPr>
            <w:tcW w:type="dxa" w:w="2850"/>
            <w:tcMar>
              <w:top w:w="85" w:type="dxa"/>
              <w:start w:w="120" w:type="dxa"/>
              <w:bottom w:w="85" w:type="dxa"/>
              <w:end w:w="120" w:type="dxa"/>
            </w:tcMar>
            <w:vAlign w:val="center"/>
          </w:tcPr>
          <w:p>
            <w:pPr>
              <w:spacing w:after="0" w:line="259" w:lineRule="auto"/>
            </w:pPr>
            <w:r>
              <w:rPr>
                <w:rFonts w:ascii="Calibri" w:hAnsi="Calibri"/>
                <w:color w:val="1B2638"/>
                <w:sz w:val="17"/>
              </w:rPr>
              <w:t>Phase 3 + result admission + containment enforcement</w:t>
            </w:r>
          </w:p>
        </w:tc>
        <w:tc>
          <w:tcPr>
            <w:tcW w:type="dxa" w:w="3360"/>
            <w:tcMar>
              <w:top w:w="85" w:type="dxa"/>
              <w:start w:w="120" w:type="dxa"/>
              <w:bottom w:w="85" w:type="dxa"/>
              <w:end w:w="120" w:type="dxa"/>
            </w:tcMar>
            <w:vAlign w:val="center"/>
          </w:tcPr>
          <w:p>
            <w:pPr>
              <w:spacing w:after="0" w:line="259" w:lineRule="auto"/>
            </w:pPr>
            <w:r>
              <w:rPr>
                <w:rFonts w:ascii="Calibri" w:hAnsi="Calibri"/>
                <w:color w:val="1B2638"/>
                <w:sz w:val="17"/>
              </w:rPr>
              <w:t>Poison withheld; operator contains for run; retry refused before MCP.</w:t>
            </w:r>
          </w:p>
        </w:tc>
      </w:tr>
    </w:tbl>
    <w:p>
      <w:pPr>
        <w:pStyle w:val="Heading2"/>
        <w:keepNext/>
        <w:widowControl/>
      </w:pPr>
      <w:r>
        <w:t>Deterministic comparison is core MVP</w:t>
      </w:r>
    </w:p>
    <w:p>
      <w:pPr>
        <w:widowControl/>
      </w:pPr>
      <w:r>
        <w:rPr>
          <w:rFonts w:ascii="Calibri" w:hAnsi="Calibri"/>
          <w:color w:val="1B2638"/>
          <w:sz w:val="22"/>
        </w:rPr>
        <w:t>Compare runs the compromised unprotected and Full Protection presets sequentially from clean resets using the same scripted provider and prompt fingerprint. It pins both outcomes, shows the delta in proposals, model-visible poison, executions, effects, findings, containment, and retry refusal, and links each arm to pure replay. It reuses one large topology for replay rather than squeezing two tiny graphs side by side.</w:t>
      </w:r>
    </w:p>
    <w:p>
      <w:pPr>
        <w:keepNext/>
        <w:widowControl/>
        <w:spacing w:after="80"/>
        <w:jc w:val="center"/>
      </w:pPr>
      <w:r>
        <w:drawing>
          <wp:inline xmlns:a="http://schemas.openxmlformats.org/drawingml/2006/main" xmlns:pic="http://schemas.openxmlformats.org/drawingml/2006/picture">
            <wp:extent cx="5897880" cy="2654046"/>
            <wp:docPr id="2" name="Picture 2" descr="Comparison workspace with an unprotected result card showing model-visible poison, 100 synthetic database rows, and one local outbox send; a Full Protection card showing zero effects, one withheld result, and containment; and a central evidence delta with replay links." title="Gatekeeper deterministic comparison concept"/>
            <wp:cNvGraphicFramePr>
              <a:graphicFrameLocks noChangeAspect="1"/>
            </wp:cNvGraphicFramePr>
            <a:graphic>
              <a:graphicData uri="http://schemas.openxmlformats.org/drawingml/2006/picture">
                <pic:pic>
                  <pic:nvPicPr>
                    <pic:cNvPr id="0" name="compare-v2.png"/>
                    <pic:cNvPicPr/>
                  </pic:nvPicPr>
                  <pic:blipFill>
                    <a:blip r:embed="rId19"/>
                    <a:stretch>
                      <a:fillRect/>
                    </a:stretch>
                  </pic:blipFill>
                  <pic:spPr>
                    <a:xfrm>
                      <a:off x="0" y="0"/>
                      <a:ext cx="5897880" cy="2654046"/>
                    </a:xfrm>
                    <a:prstGeom prst="rect"/>
                  </pic:spPr>
                </pic:pic>
              </a:graphicData>
            </a:graphic>
          </wp:inline>
        </w:drawing>
      </w:r>
    </w:p>
    <w:p>
      <w:pPr>
        <w:keepLines/>
        <w:widowControl/>
        <w:spacing w:after="200"/>
        <w:jc w:val="center"/>
      </w:pPr>
      <w:r>
        <w:rPr>
          <w:rFonts w:ascii="Calibri" w:hAnsi="Calibri"/>
          <w:i/>
          <w:color w:val="5F6B7A"/>
          <w:sz w:val="18"/>
        </w:rPr>
        <w:t>Figure 2. Deterministic comparison pins both outcomes and the evidence delta.</w:t>
      </w:r>
    </w:p>
    <w:p>
      <w:pPr>
        <w:pStyle w:val="Heading2"/>
        <w:keepNext/>
        <w:widowControl/>
      </w:pPr>
      <w:r>
        <w:t>Protection controls</w:t>
      </w:r>
    </w:p>
    <w:tbl>
      <w:tblPr>
        <w:tblStyle w:val="TableGrid"/>
        <w:tblW w:type="dxa" w:w="9360"/>
        <w:jc w:val="left"/>
        <w:tblLayout w:type="fixed"/>
        <w:tblLook w:firstColumn="1" w:firstRow="1" w:lastColumn="0" w:lastRow="0" w:noHBand="0" w:noVBand="1" w:val="04A0"/>
        <w:tblInd w:w="120" w:type="dxa"/>
        <w:tblBorders>
          <w:top w:val="single" w:sz="6" w:space="0" w:color="D8DEE7"/>
          <w:left w:val="single" w:sz="6" w:space="0" w:color="D8DEE7"/>
          <w:bottom w:val="single" w:sz="6" w:space="0" w:color="D8DEE7"/>
          <w:right w:val="single" w:sz="6" w:space="0" w:color="D8DEE7"/>
          <w:insideH w:val="single" w:sz="6" w:space="0" w:color="D8DEE7"/>
          <w:insideV w:val="single" w:sz="6" w:space="0" w:color="D8DEE7"/>
        </w:tblBorders>
      </w:tblPr>
      <w:tblGrid>
        <w:gridCol w:w="2200"/>
        <w:gridCol w:w="3050"/>
        <w:gridCol w:w="4110"/>
      </w:tblGrid>
      <w:tr>
        <w:trPr>
          <w:tblHeader w:val="true"/>
          <w:cantSplit w:val="true"/>
        </w:trPr>
        <w:tc>
          <w:tcPr>
            <w:tcW w:type="dxa" w:w="2200"/>
            <w:shd w:fill="E8F0FA" w:val="clear"/>
            <w:tcMar>
              <w:top w:w="85" w:type="dxa"/>
              <w:start w:w="120" w:type="dxa"/>
              <w:bottom w:w="85" w:type="dxa"/>
              <w:end w:w="120" w:type="dxa"/>
            </w:tcMar>
            <w:vAlign w:val="center"/>
          </w:tcPr>
          <w:p>
            <w:pPr>
              <w:spacing w:after="0"/>
            </w:pPr>
            <w:r>
              <w:rPr>
                <w:rFonts w:ascii="Calibri" w:hAnsi="Calibri"/>
                <w:b/>
                <w:color w:val="17365D"/>
                <w:sz w:val="19"/>
              </w:rPr>
              <w:t>Protection</w:t>
            </w:r>
          </w:p>
        </w:tc>
        <w:tc>
          <w:tcPr>
            <w:tcW w:type="dxa" w:w="3050"/>
            <w:shd w:fill="E8F0FA" w:val="clear"/>
            <w:tcMar>
              <w:top w:w="85" w:type="dxa"/>
              <w:start w:w="120" w:type="dxa"/>
              <w:bottom w:w="85" w:type="dxa"/>
              <w:end w:w="120" w:type="dxa"/>
            </w:tcMar>
            <w:vAlign w:val="center"/>
          </w:tcPr>
          <w:p>
            <w:pPr>
              <w:spacing w:after="0"/>
            </w:pPr>
            <w:r>
              <w:rPr>
                <w:rFonts w:ascii="Calibri" w:hAnsi="Calibri"/>
                <w:b/>
                <w:color w:val="17365D"/>
                <w:sz w:val="19"/>
              </w:rPr>
              <w:t>Role</w:t>
            </w:r>
          </w:p>
        </w:tc>
        <w:tc>
          <w:tcPr>
            <w:tcW w:type="dxa" w:w="4110"/>
            <w:shd w:fill="E8F0FA" w:val="clear"/>
            <w:tcMar>
              <w:top w:w="85" w:type="dxa"/>
              <w:start w:w="120" w:type="dxa"/>
              <w:bottom w:w="85" w:type="dxa"/>
              <w:end w:w="120" w:type="dxa"/>
            </w:tcMar>
            <w:vAlign w:val="center"/>
          </w:tcPr>
          <w:p>
            <w:pPr>
              <w:spacing w:after="0"/>
            </w:pPr>
            <w:r>
              <w:rPr>
                <w:rFonts w:ascii="Calibri" w:hAnsi="Calibri"/>
                <w:b/>
                <w:color w:val="17365D"/>
                <w:sz w:val="19"/>
              </w:rPr>
              <w:t>Dependency and UI rule</w:t>
            </w:r>
          </w:p>
        </w:tc>
      </w:tr>
      <w:tr>
        <w:trPr>
          <w:cantSplit w:val="true"/>
        </w:trPr>
        <w:tc>
          <w:tcPr>
            <w:tcW w:type="dxa" w:w="2200"/>
            <w:tcMar>
              <w:top w:w="85" w:type="dxa"/>
              <w:start w:w="120" w:type="dxa"/>
              <w:bottom w:w="85" w:type="dxa"/>
              <w:end w:w="120" w:type="dxa"/>
            </w:tcMar>
            <w:vAlign w:val="center"/>
          </w:tcPr>
          <w:p>
            <w:pPr>
              <w:spacing w:after="0" w:line="259" w:lineRule="auto"/>
            </w:pPr>
            <w:r>
              <w:rPr>
                <w:rFonts w:ascii="Calibri" w:hAnsi="Calibri"/>
                <w:color w:val="1B2638"/>
                <w:sz w:val="17"/>
              </w:rPr>
              <w:t>MCP result admission</w:t>
            </w:r>
          </w:p>
        </w:tc>
        <w:tc>
          <w:tcPr>
            <w:tcW w:type="dxa" w:w="3050"/>
            <w:tcMar>
              <w:top w:w="85" w:type="dxa"/>
              <w:start w:w="120" w:type="dxa"/>
              <w:bottom w:w="85" w:type="dxa"/>
              <w:end w:w="120" w:type="dxa"/>
            </w:tcMar>
            <w:vAlign w:val="center"/>
          </w:tcPr>
          <w:p>
            <w:pPr>
              <w:spacing w:after="0" w:line="259" w:lineRule="auto"/>
            </w:pPr>
            <w:r>
              <w:rPr>
                <w:rFonts w:ascii="Calibri" w:hAnsi="Calibri"/>
                <w:color w:val="1B2638"/>
                <w:sz w:val="17"/>
              </w:rPr>
              <w:t>Inspect/replace hostile tool result before model context</w:t>
            </w:r>
          </w:p>
        </w:tc>
        <w:tc>
          <w:tcPr>
            <w:tcW w:type="dxa" w:w="4110"/>
            <w:tcMar>
              <w:top w:w="85" w:type="dxa"/>
              <w:start w:w="120" w:type="dxa"/>
              <w:bottom w:w="85" w:type="dxa"/>
              <w:end w:w="120" w:type="dxa"/>
            </w:tcMar>
            <w:vAlign w:val="center"/>
          </w:tcPr>
          <w:p>
            <w:pPr>
              <w:spacing w:after="0" w:line="259" w:lineRule="auto"/>
            </w:pPr>
            <w:r>
              <w:rPr>
                <w:rFonts w:ascii="Calibri" w:hAnsi="Calibri"/>
                <w:color w:val="1B2638"/>
                <w:sz w:val="17"/>
              </w:rPr>
              <w:t>Independent policy; required before containment can be offered.</w:t>
            </w:r>
          </w:p>
        </w:tc>
      </w:tr>
      <w:tr>
        <w:trPr>
          <w:cantSplit w:val="true"/>
        </w:trPr>
        <w:tc>
          <w:tcPr>
            <w:tcW w:type="dxa" w:w="2200"/>
            <w:tcMar>
              <w:top w:w="85" w:type="dxa"/>
              <w:start w:w="120" w:type="dxa"/>
              <w:bottom w:w="85" w:type="dxa"/>
              <w:end w:w="120" w:type="dxa"/>
            </w:tcMar>
            <w:vAlign w:val="center"/>
          </w:tcPr>
          <w:p>
            <w:pPr>
              <w:spacing w:after="0" w:line="259" w:lineRule="auto"/>
            </w:pPr>
            <w:r>
              <w:rPr>
                <w:rFonts w:ascii="Calibri" w:hAnsi="Calibri"/>
                <w:color w:val="1B2638"/>
                <w:sz w:val="17"/>
              </w:rPr>
              <w:t>Database scope</w:t>
            </w:r>
          </w:p>
        </w:tc>
        <w:tc>
          <w:tcPr>
            <w:tcW w:type="dxa" w:w="3050"/>
            <w:tcMar>
              <w:top w:w="85" w:type="dxa"/>
              <w:start w:w="120" w:type="dxa"/>
              <w:bottom w:w="85" w:type="dxa"/>
              <w:end w:w="120" w:type="dxa"/>
            </w:tcMar>
            <w:vAlign w:val="center"/>
          </w:tcPr>
          <w:p>
            <w:pPr>
              <w:spacing w:after="0" w:line="259" w:lineRule="auto"/>
            </w:pPr>
            <w:r>
              <w:rPr>
                <w:rFonts w:ascii="Calibri" w:hAnsi="Calibri"/>
                <w:color w:val="1B2638"/>
                <w:sz w:val="17"/>
              </w:rPr>
              <w:t>Require named partner and bounded result scope</w:t>
            </w:r>
          </w:p>
        </w:tc>
        <w:tc>
          <w:tcPr>
            <w:tcW w:type="dxa" w:w="4110"/>
            <w:tcMar>
              <w:top w:w="85" w:type="dxa"/>
              <w:start w:w="120" w:type="dxa"/>
              <w:bottom w:w="85" w:type="dxa"/>
              <w:end w:w="120" w:type="dxa"/>
            </w:tcMar>
            <w:vAlign w:val="center"/>
          </w:tcPr>
          <w:p>
            <w:pPr>
              <w:spacing w:after="0" w:line="259" w:lineRule="auto"/>
            </w:pPr>
            <w:r>
              <w:rPr>
                <w:rFonts w:ascii="Calibri" w:hAnsi="Calibri"/>
                <w:color w:val="1B2638"/>
                <w:sz w:val="17"/>
              </w:rPr>
              <w:t>Pre-execution effect policy.</w:t>
            </w:r>
          </w:p>
        </w:tc>
      </w:tr>
      <w:tr>
        <w:trPr>
          <w:cantSplit w:val="true"/>
        </w:trPr>
        <w:tc>
          <w:tcPr>
            <w:tcW w:type="dxa" w:w="2200"/>
            <w:tcMar>
              <w:top w:w="85" w:type="dxa"/>
              <w:start w:w="120" w:type="dxa"/>
              <w:bottom w:w="85" w:type="dxa"/>
              <w:end w:w="120" w:type="dxa"/>
            </w:tcMar>
            <w:vAlign w:val="center"/>
          </w:tcPr>
          <w:p>
            <w:pPr>
              <w:spacing w:after="0" w:line="259" w:lineRule="auto"/>
            </w:pPr>
            <w:r>
              <w:rPr>
                <w:rFonts w:ascii="Calibri" w:hAnsi="Calibri"/>
                <w:color w:val="1B2638"/>
                <w:sz w:val="17"/>
              </w:rPr>
              <w:t>Email recipient</w:t>
            </w:r>
          </w:p>
        </w:tc>
        <w:tc>
          <w:tcPr>
            <w:tcW w:type="dxa" w:w="3050"/>
            <w:tcMar>
              <w:top w:w="85" w:type="dxa"/>
              <w:start w:w="120" w:type="dxa"/>
              <w:bottom w:w="85" w:type="dxa"/>
              <w:end w:w="120" w:type="dxa"/>
            </w:tcMar>
            <w:vAlign w:val="center"/>
          </w:tcPr>
          <w:p>
            <w:pPr>
              <w:spacing w:after="0" w:line="259" w:lineRule="auto"/>
            </w:pPr>
            <w:r>
              <w:rPr>
                <w:rFonts w:ascii="Calibri" w:hAnsi="Calibri"/>
                <w:color w:val="1B2638"/>
                <w:sz w:val="17"/>
              </w:rPr>
              <w:t>Restrict recipients to the internal domain</w:t>
            </w:r>
          </w:p>
        </w:tc>
        <w:tc>
          <w:tcPr>
            <w:tcW w:type="dxa" w:w="4110"/>
            <w:tcMar>
              <w:top w:w="85" w:type="dxa"/>
              <w:start w:w="120" w:type="dxa"/>
              <w:bottom w:w="85" w:type="dxa"/>
              <w:end w:w="120" w:type="dxa"/>
            </w:tcMar>
            <w:vAlign w:val="center"/>
          </w:tcPr>
          <w:p>
            <w:pPr>
              <w:spacing w:after="0" w:line="259" w:lineRule="auto"/>
            </w:pPr>
            <w:r>
              <w:rPr>
                <w:rFonts w:ascii="Calibri" w:hAnsi="Calibri"/>
                <w:color w:val="1B2638"/>
                <w:sz w:val="17"/>
              </w:rPr>
              <w:t>Pre-execution effect policy.</w:t>
            </w:r>
          </w:p>
        </w:tc>
      </w:tr>
      <w:tr>
        <w:trPr>
          <w:cantSplit w:val="true"/>
        </w:trPr>
        <w:tc>
          <w:tcPr>
            <w:tcW w:type="dxa" w:w="2200"/>
            <w:tcMar>
              <w:top w:w="85" w:type="dxa"/>
              <w:start w:w="120" w:type="dxa"/>
              <w:bottom w:w="85" w:type="dxa"/>
              <w:end w:w="120" w:type="dxa"/>
            </w:tcMar>
            <w:vAlign w:val="center"/>
          </w:tcPr>
          <w:p>
            <w:pPr>
              <w:spacing w:after="0" w:line="259" w:lineRule="auto"/>
            </w:pPr>
            <w:r>
              <w:rPr>
                <w:rFonts w:ascii="Calibri" w:hAnsi="Calibri"/>
                <w:color w:val="1B2638"/>
                <w:sz w:val="17"/>
              </w:rPr>
              <w:t>Containment enforcement</w:t>
            </w:r>
          </w:p>
        </w:tc>
        <w:tc>
          <w:tcPr>
            <w:tcW w:type="dxa" w:w="3050"/>
            <w:tcMar>
              <w:top w:w="85" w:type="dxa"/>
              <w:start w:w="120" w:type="dxa"/>
              <w:bottom w:w="85" w:type="dxa"/>
              <w:end w:w="120" w:type="dxa"/>
            </w:tcMar>
            <w:vAlign w:val="center"/>
          </w:tcPr>
          <w:p>
            <w:pPr>
              <w:spacing w:after="0" w:line="259" w:lineRule="auto"/>
            </w:pPr>
            <w:r>
              <w:rPr>
                <w:rFonts w:ascii="Calibri" w:hAnsi="Calibri"/>
                <w:color w:val="1B2638"/>
                <w:sz w:val="17"/>
              </w:rPr>
              <w:t>Refuse later calls to a run-contained MCP identity</w:t>
            </w:r>
          </w:p>
        </w:tc>
        <w:tc>
          <w:tcPr>
            <w:tcW w:type="dxa" w:w="4110"/>
            <w:tcMar>
              <w:top w:w="85" w:type="dxa"/>
              <w:start w:w="120" w:type="dxa"/>
              <w:bottom w:w="85" w:type="dxa"/>
              <w:end w:w="120" w:type="dxa"/>
            </w:tcMar>
            <w:vAlign w:val="center"/>
          </w:tcPr>
          <w:p>
            <w:pPr>
              <w:spacing w:after="0" w:line="259" w:lineRule="auto"/>
            </w:pPr>
            <w:r>
              <w:rPr>
                <w:rFonts w:ascii="Calibri" w:hAnsi="Calibri"/>
                <w:color w:val="1B2638"/>
                <w:sz w:val="17"/>
              </w:rPr>
              <w:t>Depends on result finding plus explicit operator mutation.</w:t>
            </w:r>
          </w:p>
        </w:tc>
      </w:tr>
    </w:tbl>
    <w:p>
      <w:pPr>
        <w:widowControl/>
      </w:pPr>
      <w:r>
        <w:rPr>
          <w:rFonts w:ascii="Calibri" w:hAnsi="Calibri"/>
          <w:color w:val="1B2638"/>
          <w:sz w:val="22"/>
        </w:rPr>
        <w:t>Header states should read Gatekeeper: Off, Protected 4/4, or Custom 2/4. Turning the master off preserves chip selection but bypasses the single UseGatekeeper(...) composition point. Gatekeeper On with zero selected protections is rejected as no effective protection. Presets show controls but lock them; manual edits switch to Custom Lab.</w:t>
      </w:r>
    </w:p>
    <w:p>
      <w:pPr>
        <w:pStyle w:val="Heading2"/>
        <w:keepNext/>
        <w:widowControl/>
      </w:pPr>
      <w:r>
        <w:t>Compromised supplier lifecycle</w:t>
      </w:r>
    </w:p>
    <w:p>
      <w:pPr>
        <w:widowControl/>
      </w:pPr>
      <w:r>
        <w:rPr>
          <w:rFonts w:ascii="Calibri" w:hAnsi="Calibri"/>
          <w:color w:val="1B2638"/>
          <w:sz w:val="22"/>
        </w:rPr>
        <w:t>The UI tracks desired and effective evil state separately. A toggle is accepted only while idle. The current MCP client is disposed, a new child starts with the environment fixture, and the state becomes effective only after the handshake succeeds. Events carry process-instance and session IDs. A side-by-side clean-result/injected-directive diff is available in the inspector; raw hostile text is not persisted by default.</w:t>
      </w:r>
    </w:p>
    <w:p>
      <w:pPr>
        <w:pStyle w:val="Heading1"/>
        <w:keepNext/>
        <w:widowControl/>
      </w:pPr>
      <w:r>
        <w:t>7. Playback, stepping, and run lifecycle</w:t>
      </w:r>
    </w:p>
    <w:tbl>
      <w:tblPr>
        <w:tblStyle w:val="TableGrid"/>
        <w:tblW w:type="dxa" w:w="9360"/>
        <w:jc w:val="left"/>
        <w:tblLayout w:type="fixed"/>
        <w:tblLook w:firstColumn="1" w:firstRow="1" w:lastColumn="0" w:lastRow="0" w:noHBand="0" w:noVBand="1" w:val="04A0"/>
        <w:tblInd w:w="120" w:type="dxa"/>
        <w:tblBorders>
          <w:top w:val="single" w:sz="6" w:space="0" w:color="D8DEE7"/>
          <w:left w:val="single" w:sz="6" w:space="0" w:color="D8DEE7"/>
          <w:bottom w:val="single" w:sz="6" w:space="0" w:color="D8DEE7"/>
          <w:right w:val="single" w:sz="6" w:space="0" w:color="D8DEE7"/>
          <w:insideH w:val="single" w:sz="6" w:space="0" w:color="D8DEE7"/>
          <w:insideV w:val="single" w:sz="6" w:space="0" w:color="D8DEE7"/>
        </w:tblBorders>
      </w:tblPr>
      <w:tblGrid>
        <w:gridCol w:w="1700"/>
        <w:gridCol w:w="2500"/>
        <w:gridCol w:w="5160"/>
      </w:tblGrid>
      <w:tr>
        <w:trPr>
          <w:tblHeader w:val="true"/>
          <w:cantSplit w:val="true"/>
        </w:trPr>
        <w:tc>
          <w:tcPr>
            <w:tcW w:type="dxa" w:w="1700"/>
            <w:shd w:fill="E8F0FA" w:val="clear"/>
            <w:tcMar>
              <w:top w:w="85" w:type="dxa"/>
              <w:start w:w="120" w:type="dxa"/>
              <w:bottom w:w="85" w:type="dxa"/>
              <w:end w:w="120" w:type="dxa"/>
            </w:tcMar>
            <w:vAlign w:val="center"/>
          </w:tcPr>
          <w:p>
            <w:pPr>
              <w:spacing w:after="0"/>
            </w:pPr>
            <w:r>
              <w:rPr>
                <w:rFonts w:ascii="Calibri" w:hAnsi="Calibri"/>
                <w:b/>
                <w:color w:val="17365D"/>
                <w:sz w:val="19"/>
              </w:rPr>
              <w:t>Mode</w:t>
            </w:r>
          </w:p>
        </w:tc>
        <w:tc>
          <w:tcPr>
            <w:tcW w:type="dxa" w:w="2500"/>
            <w:shd w:fill="E8F0FA" w:val="clear"/>
            <w:tcMar>
              <w:top w:w="85" w:type="dxa"/>
              <w:start w:w="120" w:type="dxa"/>
              <w:bottom w:w="85" w:type="dxa"/>
              <w:end w:w="120" w:type="dxa"/>
            </w:tcMar>
            <w:vAlign w:val="center"/>
          </w:tcPr>
          <w:p>
            <w:pPr>
              <w:spacing w:after="0"/>
            </w:pPr>
            <w:r>
              <w:rPr>
                <w:rFonts w:ascii="Calibri" w:hAnsi="Calibri"/>
                <w:b/>
                <w:color w:val="17365D"/>
                <w:sz w:val="19"/>
              </w:rPr>
              <w:t>What pauses</w:t>
            </w:r>
          </w:p>
        </w:tc>
        <w:tc>
          <w:tcPr>
            <w:tcW w:type="dxa" w:w="5160"/>
            <w:shd w:fill="E8F0FA" w:val="clear"/>
            <w:tcMar>
              <w:top w:w="85" w:type="dxa"/>
              <w:start w:w="120" w:type="dxa"/>
              <w:bottom w:w="85" w:type="dxa"/>
              <w:end w:w="120" w:type="dxa"/>
            </w:tcMar>
            <w:vAlign w:val="center"/>
          </w:tcPr>
          <w:p>
            <w:pPr>
              <w:spacing w:after="0"/>
            </w:pPr>
            <w:r>
              <w:rPr>
                <w:rFonts w:ascii="Calibri" w:hAnsi="Calibri"/>
                <w:b/>
                <w:color w:val="17365D"/>
                <w:sz w:val="19"/>
              </w:rPr>
              <w:t>Truthful label and first-release scope</w:t>
            </w:r>
          </w:p>
        </w:tc>
      </w:tr>
      <w:tr>
        <w:trPr>
          <w:cantSplit w:val="true"/>
        </w:trPr>
        <w:tc>
          <w:tcPr>
            <w:tcW w:type="dxa" w:w="1700"/>
            <w:tcMar>
              <w:top w:w="85" w:type="dxa"/>
              <w:start w:w="120" w:type="dxa"/>
              <w:bottom w:w="85" w:type="dxa"/>
              <w:end w:w="120" w:type="dxa"/>
            </w:tcMar>
            <w:vAlign w:val="center"/>
          </w:tcPr>
          <w:p>
            <w:pPr>
              <w:spacing w:after="0" w:line="259" w:lineRule="auto"/>
            </w:pPr>
            <w:r>
              <w:rPr>
                <w:rFonts w:ascii="Calibri" w:hAnsi="Calibri"/>
                <w:color w:val="1B2638"/>
                <w:sz w:val="17"/>
              </w:rPr>
              <w:t>Real-time projection</w:t>
            </w:r>
          </w:p>
        </w:tc>
        <w:tc>
          <w:tcPr>
            <w:tcW w:type="dxa" w:w="2500"/>
            <w:tcMar>
              <w:top w:w="85" w:type="dxa"/>
              <w:start w:w="120" w:type="dxa"/>
              <w:bottom w:w="85" w:type="dxa"/>
              <w:end w:w="120" w:type="dxa"/>
            </w:tcMar>
            <w:vAlign w:val="center"/>
          </w:tcPr>
          <w:p>
            <w:pPr>
              <w:spacing w:after="0" w:line="259" w:lineRule="auto"/>
            </w:pPr>
            <w:r>
              <w:rPr>
                <w:rFonts w:ascii="Calibri" w:hAnsi="Calibri"/>
                <w:color w:val="1B2638"/>
                <w:sz w:val="17"/>
              </w:rPr>
              <w:t>Nothing</w:t>
            </w:r>
          </w:p>
        </w:tc>
        <w:tc>
          <w:tcPr>
            <w:tcW w:type="dxa" w:w="5160"/>
            <w:tcMar>
              <w:top w:w="85" w:type="dxa"/>
              <w:start w:w="120" w:type="dxa"/>
              <w:bottom w:w="85" w:type="dxa"/>
              <w:end w:w="120" w:type="dxa"/>
            </w:tcMar>
            <w:vAlign w:val="center"/>
          </w:tcPr>
          <w:p>
            <w:pPr>
              <w:spacing w:after="0" w:line="259" w:lineRule="auto"/>
            </w:pPr>
            <w:r>
              <w:rPr>
                <w:rFonts w:ascii="Calibri" w:hAnsi="Calibri"/>
                <w:color w:val="1B2638"/>
                <w:sz w:val="17"/>
              </w:rPr>
              <w:t>Events appear as recorded; actual monotonic durations are shown.</w:t>
            </w:r>
          </w:p>
        </w:tc>
      </w:tr>
      <w:tr>
        <w:trPr>
          <w:cantSplit w:val="true"/>
        </w:trPr>
        <w:tc>
          <w:tcPr>
            <w:tcW w:type="dxa" w:w="1700"/>
            <w:tcMar>
              <w:top w:w="85" w:type="dxa"/>
              <w:start w:w="120" w:type="dxa"/>
              <w:bottom w:w="85" w:type="dxa"/>
              <w:end w:w="120" w:type="dxa"/>
            </w:tcMar>
            <w:vAlign w:val="center"/>
          </w:tcPr>
          <w:p>
            <w:pPr>
              <w:spacing w:after="0" w:line="259" w:lineRule="auto"/>
            </w:pPr>
            <w:r>
              <w:rPr>
                <w:rFonts w:ascii="Calibri" w:hAnsi="Calibri"/>
                <w:color w:val="1B2638"/>
                <w:sz w:val="17"/>
              </w:rPr>
              <w:t>Pause playback</w:t>
            </w:r>
          </w:p>
        </w:tc>
        <w:tc>
          <w:tcPr>
            <w:tcW w:type="dxa" w:w="2500"/>
            <w:tcMar>
              <w:top w:w="85" w:type="dxa"/>
              <w:start w:w="120" w:type="dxa"/>
              <w:bottom w:w="85" w:type="dxa"/>
              <w:end w:w="120" w:type="dxa"/>
            </w:tcMar>
            <w:vAlign w:val="center"/>
          </w:tcPr>
          <w:p>
            <w:pPr>
              <w:spacing w:after="0" w:line="259" w:lineRule="auto"/>
            </w:pPr>
            <w:r>
              <w:rPr>
                <w:rFonts w:ascii="Calibri" w:hAnsi="Calibri"/>
                <w:color w:val="1B2638"/>
                <w:sz w:val="17"/>
              </w:rPr>
              <w:t>Visualization only</w:t>
            </w:r>
          </w:p>
        </w:tc>
        <w:tc>
          <w:tcPr>
            <w:tcW w:type="dxa" w:w="5160"/>
            <w:tcMar>
              <w:top w:w="85" w:type="dxa"/>
              <w:start w:w="120" w:type="dxa"/>
              <w:bottom w:w="85" w:type="dxa"/>
              <w:end w:w="120" w:type="dxa"/>
            </w:tcMar>
            <w:vAlign w:val="center"/>
          </w:tcPr>
          <w:p>
            <w:pPr>
              <w:spacing w:after="0" w:line="259" w:lineRule="auto"/>
            </w:pPr>
            <w:r>
              <w:rPr>
                <w:rFonts w:ascii="Calibri" w:hAnsi="Calibri"/>
                <w:color w:val="1B2638"/>
                <w:sz w:val="17"/>
              </w:rPr>
              <w:t>Show Playback paused - execution still running plus backlog count.</w:t>
            </w:r>
          </w:p>
        </w:tc>
      </w:tr>
      <w:tr>
        <w:trPr>
          <w:cantSplit w:val="true"/>
        </w:trPr>
        <w:tc>
          <w:tcPr>
            <w:tcW w:type="dxa" w:w="1700"/>
            <w:tcMar>
              <w:top w:w="85" w:type="dxa"/>
              <w:start w:w="120" w:type="dxa"/>
              <w:bottom w:w="85" w:type="dxa"/>
              <w:end w:w="120" w:type="dxa"/>
            </w:tcMar>
            <w:vAlign w:val="center"/>
          </w:tcPr>
          <w:p>
            <w:pPr>
              <w:spacing w:after="0" w:line="259" w:lineRule="auto"/>
            </w:pPr>
            <w:r>
              <w:rPr>
                <w:rFonts w:ascii="Calibri" w:hAnsi="Calibri"/>
                <w:color w:val="1B2638"/>
                <w:sz w:val="17"/>
              </w:rPr>
              <w:t>Presentation playback</w:t>
            </w:r>
          </w:p>
        </w:tc>
        <w:tc>
          <w:tcPr>
            <w:tcW w:type="dxa" w:w="2500"/>
            <w:tcMar>
              <w:top w:w="85" w:type="dxa"/>
              <w:start w:w="120" w:type="dxa"/>
              <w:bottom w:w="85" w:type="dxa"/>
              <w:end w:w="120" w:type="dxa"/>
            </w:tcMar>
            <w:vAlign w:val="center"/>
          </w:tcPr>
          <w:p>
            <w:pPr>
              <w:spacing w:after="0" w:line="259" w:lineRule="auto"/>
            </w:pPr>
            <w:r>
              <w:rPr>
                <w:rFonts w:ascii="Calibri" w:hAnsi="Calibri"/>
                <w:color w:val="1B2638"/>
                <w:sz w:val="17"/>
              </w:rPr>
              <w:t>Recorded replay between semantic boundaries</w:t>
            </w:r>
          </w:p>
        </w:tc>
        <w:tc>
          <w:tcPr>
            <w:tcW w:type="dxa" w:w="5160"/>
            <w:tcMar>
              <w:top w:w="85" w:type="dxa"/>
              <w:start w:w="120" w:type="dxa"/>
              <w:bottom w:w="85" w:type="dxa"/>
              <w:end w:w="120" w:type="dxa"/>
            </w:tcMar>
            <w:vAlign w:val="center"/>
          </w:tcPr>
          <w:p>
            <w:pPr>
              <w:spacing w:after="0" w:line="259" w:lineRule="auto"/>
            </w:pPr>
            <w:r>
              <w:rPr>
                <w:rFonts w:ascii="Calibri" w:hAnsi="Calibri"/>
                <w:color w:val="1B2638"/>
                <w:sz w:val="17"/>
              </w:rPr>
              <w:t>Label BUFFERED PLAYBACK. It never implies the underlying effect has not occurred.</w:t>
            </w:r>
          </w:p>
        </w:tc>
      </w:tr>
      <w:tr>
        <w:trPr>
          <w:cantSplit w:val="true"/>
        </w:trPr>
        <w:tc>
          <w:tcPr>
            <w:tcW w:type="dxa" w:w="1700"/>
            <w:tcMar>
              <w:top w:w="85" w:type="dxa"/>
              <w:start w:w="120" w:type="dxa"/>
              <w:bottom w:w="85" w:type="dxa"/>
              <w:end w:w="120" w:type="dxa"/>
            </w:tcMar>
            <w:vAlign w:val="center"/>
          </w:tcPr>
          <w:p>
            <w:pPr>
              <w:spacing w:after="0" w:line="259" w:lineRule="auto"/>
            </w:pPr>
            <w:r>
              <w:rPr>
                <w:rFonts w:ascii="Calibri" w:hAnsi="Calibri"/>
                <w:color w:val="1B2638"/>
                <w:sz w:val="17"/>
              </w:rPr>
              <w:t>Replay Step</w:t>
            </w:r>
          </w:p>
        </w:tc>
        <w:tc>
          <w:tcPr>
            <w:tcW w:type="dxa" w:w="2500"/>
            <w:tcMar>
              <w:top w:w="85" w:type="dxa"/>
              <w:start w:w="120" w:type="dxa"/>
              <w:bottom w:w="85" w:type="dxa"/>
              <w:end w:w="120" w:type="dxa"/>
            </w:tcMar>
            <w:vAlign w:val="center"/>
          </w:tcPr>
          <w:p>
            <w:pPr>
              <w:spacing w:after="0" w:line="259" w:lineRule="auto"/>
            </w:pPr>
            <w:r>
              <w:rPr>
                <w:rFonts w:ascii="Calibri" w:hAnsi="Calibri"/>
                <w:color w:val="1B2638"/>
                <w:sz w:val="17"/>
              </w:rPr>
              <w:t>Pure replay artifact</w:t>
            </w:r>
          </w:p>
        </w:tc>
        <w:tc>
          <w:tcPr>
            <w:tcW w:type="dxa" w:w="5160"/>
            <w:tcMar>
              <w:top w:w="85" w:type="dxa"/>
              <w:start w:w="120" w:type="dxa"/>
              <w:bottom w:w="85" w:type="dxa"/>
              <w:end w:w="120" w:type="dxa"/>
            </w:tcMar>
            <w:vAlign w:val="center"/>
          </w:tcPr>
          <w:p>
            <w:pPr>
              <w:spacing w:after="0" w:line="259" w:lineRule="auto"/>
            </w:pPr>
            <w:r>
              <w:rPr>
                <w:rFonts w:ascii="Calibri" w:hAnsi="Calibri"/>
                <w:color w:val="1B2638"/>
                <w:sz w:val="17"/>
              </w:rPr>
              <w:t>MVP. Next advances recorded semantic boundaries and invokes zero runtime operations.</w:t>
            </w:r>
          </w:p>
        </w:tc>
      </w:tr>
      <w:tr>
        <w:trPr>
          <w:cantSplit w:val="true"/>
        </w:trPr>
        <w:tc>
          <w:tcPr>
            <w:tcW w:type="dxa" w:w="1700"/>
            <w:tcMar>
              <w:top w:w="85" w:type="dxa"/>
              <w:start w:w="120" w:type="dxa"/>
              <w:bottom w:w="85" w:type="dxa"/>
              <w:end w:w="120" w:type="dxa"/>
            </w:tcMar>
            <w:vAlign w:val="center"/>
          </w:tcPr>
          <w:p>
            <w:pPr>
              <w:spacing w:after="0" w:line="259" w:lineRule="auto"/>
            </w:pPr>
            <w:r>
              <w:rPr>
                <w:rFonts w:ascii="Calibri" w:hAnsi="Calibri"/>
                <w:color w:val="1B2638"/>
                <w:sz w:val="17"/>
              </w:rPr>
              <w:t>Live Step</w:t>
            </w:r>
          </w:p>
        </w:tc>
        <w:tc>
          <w:tcPr>
            <w:tcW w:type="dxa" w:w="2500"/>
            <w:tcMar>
              <w:top w:w="85" w:type="dxa"/>
              <w:start w:w="120" w:type="dxa"/>
              <w:bottom w:w="85" w:type="dxa"/>
              <w:end w:w="120" w:type="dxa"/>
            </w:tcMar>
            <w:vAlign w:val="center"/>
          </w:tcPr>
          <w:p>
            <w:pPr>
              <w:spacing w:after="0" w:line="259" w:lineRule="auto"/>
            </w:pPr>
            <w:r>
              <w:rPr>
                <w:rFonts w:ascii="Calibri" w:hAnsi="Calibri"/>
                <w:color w:val="1B2638"/>
                <w:sz w:val="17"/>
              </w:rPr>
              <w:t>Application-owned checkpoint broker</w:t>
            </w:r>
          </w:p>
        </w:tc>
        <w:tc>
          <w:tcPr>
            <w:tcW w:type="dxa" w:w="5160"/>
            <w:tcMar>
              <w:top w:w="85" w:type="dxa"/>
              <w:start w:w="120" w:type="dxa"/>
              <w:bottom w:w="85" w:type="dxa"/>
              <w:end w:w="120" w:type="dxa"/>
            </w:tcMar>
            <w:vAlign w:val="center"/>
          </w:tcPr>
          <w:p>
            <w:pPr>
              <w:spacing w:after="0" w:line="259" w:lineRule="auto"/>
            </w:pPr>
            <w:r>
              <w:rPr>
                <w:rFonts w:ascii="Calibri" w:hAnsi="Calibri"/>
                <w:color w:val="1B2638"/>
                <w:sz w:val="17"/>
              </w:rPr>
              <w:t>Deferred. Instrumented run; excludes checkpoint dwell from timings; never used in Experiment.</w:t>
            </w:r>
          </w:p>
        </w:tc>
      </w:tr>
    </w:tbl>
    <w:p>
      <w:pPr>
        <w:pStyle w:val="Heading2"/>
        <w:keepNext/>
        <w:widowControl/>
      </w:pPr>
      <w:r>
        <w:t>Single run owner</w:t>
      </w:r>
    </w:p>
    <w:p>
      <w:pPr>
        <w:keepLines/>
        <w:spacing w:before="80" w:after="200" w:line="240" w:lineRule="auto"/>
        <w:ind w:left="173" w:right="115"/>
        <w:shd w:fill="F5F7FA" w:val="clear"/>
        <w:widowControl/>
        <w:pBdr>
          <w:left w:val="single" w:sz="16" w:space="6" w:color="D8DEE7"/>
        </w:pBdr>
      </w:pPr>
      <w:r>
        <w:rPr>
          <w:rFonts w:ascii="Cascadia Mono" w:hAnsi="Cascadia Mono"/>
          <w:color w:val="1F4D78"/>
          <w:sz w:val="17"/>
        </w:rPr>
        <w:t>Idle -&gt; Starting MCP -&gt; Running -&gt; [Replay / Checkpoint] -&gt; Cancelling -&gt; Cleaning -&gt; Completed</w:t>
        <w:br/>
        <w:t xml:space="preserve">                                      \-&gt; Faulted</w:t>
      </w:r>
    </w:p>
    <w:p>
      <w:pPr>
        <w:widowControl/>
      </w:pPr>
      <w:r>
        <w:rPr>
          <w:rFonts w:ascii="Calibri" w:hAnsi="Calibri"/>
          <w:color w:val="1B2638"/>
          <w:sz w:val="22"/>
        </w:rPr>
        <w:t>One RunCoordinator serializes run ownership, supplier transitions, cancellation, and cleanup. Reset is asynchronous: cancel the run, release any checkpoint, await model/MCP/tool cleanup, finish the RunArtifact, then clear the view. The UI must not erase evidence while effects can still be occurring.</w:t>
      </w:r>
    </w:p>
    <w:p>
      <w:pPr>
        <w:keepLines/>
        <w:spacing w:before="120" w:after="200" w:line="283" w:lineRule="auto"/>
        <w:ind w:left="173" w:right="115"/>
        <w:shd w:fill="FFF4D6" w:val="clear"/>
        <w:widowControl/>
        <w:pBdr>
          <w:left w:val="single" w:sz="28" w:space="8" w:color="8A5A00"/>
        </w:pBdr>
      </w:pPr>
      <w:r>
        <w:rPr>
          <w:rFonts w:ascii="Calibri" w:hAnsi="Calibri"/>
          <w:b/>
          <w:color w:val="8A5A00"/>
          <w:sz w:val="20"/>
        </w:rPr>
        <w:t xml:space="preserve">LIVE STEP GUARDRAIL  </w:t>
      </w:r>
      <w:r>
        <w:rPr>
          <w:rFonts w:ascii="Calibri" w:hAnsi="Calibri"/>
          <w:color w:val="1B2638"/>
          <w:sz w:val="21"/>
        </w:rPr>
        <w:t>If implemented later, allow one outstanding cancellation-aware checkpoint, run continuations asynchronously, make Next one-shot, and test races among Next, Continue, Cancel, Reset, window close, and evil-mode change.</w:t>
      </w:r>
    </w:p>
    <w:p>
      <w:pPr>
        <w:pStyle w:val="Heading1"/>
        <w:keepNext/>
        <w:widowControl/>
      </w:pPr>
      <w:r>
        <w:t>8. Semantic events, evidence, and replay architecture</w:t>
      </w:r>
    </w:p>
    <w:p>
      <w:pPr>
        <w:keepNext/>
        <w:widowControl/>
        <w:spacing w:after="80"/>
        <w:jc w:val="center"/>
      </w:pPr>
      <w:r>
        <w:drawing>
          <wp:inline xmlns:a="http://schemas.openxmlformats.org/drawingml/2006/main" xmlns:pic="http://schemas.openxmlformats.org/drawingml/2006/picture">
            <wp:extent cx="5897880" cy="3206972"/>
            <wp:docPr id="3" name="Picture 3" descr="Architecture diagram showing the desktop process with RunCoordinator, PartnerDesk runtime, Gatekeeper protections, semantic recorder, versioned RunArtifact, and UI projector; a separate PartnerIntel MCP child over stdio; a scripted or live model-provider boundary; synthetic database and local outbox effects; and an invariant that replay invokes no operations." title="Gatekeeper demo runtime and evidence architecture"/>
            <wp:cNvGraphicFramePr>
              <a:graphicFrameLocks noChangeAspect="1"/>
            </wp:cNvGraphicFramePr>
            <a:graphic>
              <a:graphicData uri="http://schemas.openxmlformats.org/drawingml/2006/picture">
                <pic:pic>
                  <pic:nvPicPr>
                    <pic:cNvPr id="0" name="runtime-map-v2.png"/>
                    <pic:cNvPicPr/>
                  </pic:nvPicPr>
                  <pic:blipFill>
                    <a:blip r:embed="rId20"/>
                    <a:stretch>
                      <a:fillRect/>
                    </a:stretch>
                  </pic:blipFill>
                  <pic:spPr>
                    <a:xfrm>
                      <a:off x="0" y="0"/>
                      <a:ext cx="5897880" cy="3206972"/>
                    </a:xfrm>
                    <a:prstGeom prst="rect"/>
                  </pic:spPr>
                </pic:pic>
              </a:graphicData>
            </a:graphic>
          </wp:inline>
        </w:drawing>
      </w:r>
    </w:p>
    <w:p>
      <w:pPr>
        <w:keepLines/>
        <w:widowControl/>
        <w:spacing w:after="200"/>
        <w:jc w:val="center"/>
      </w:pPr>
      <w:r>
        <w:rPr>
          <w:rFonts w:ascii="Calibri" w:hAnsi="Calibri"/>
          <w:i/>
          <w:color w:val="5F6B7A"/>
          <w:sz w:val="18"/>
        </w:rPr>
        <w:t>Figure 3. Runtime boundaries and the separation between authoritative evidence and UI presentation.</w:t>
      </w:r>
    </w:p>
    <w:p>
      <w:pPr>
        <w:pStyle w:val="Heading2"/>
        <w:keepNext/>
        <w:widowControl/>
      </w:pPr>
      <w:r>
        <w:t>Small common envelope, typed payloads</w:t>
      </w:r>
    </w:p>
    <w:p>
      <w:pPr>
        <w:keepLines/>
        <w:spacing w:before="80" w:after="200" w:line="240" w:lineRule="auto"/>
        <w:ind w:left="173" w:right="115"/>
        <w:shd w:fill="F5F7FA" w:val="clear"/>
        <w:widowControl/>
        <w:pBdr>
          <w:left w:val="single" w:sz="16" w:space="6" w:color="D8DEE7"/>
        </w:pBdr>
      </w:pPr>
      <w:r>
        <w:rPr>
          <w:rFonts w:ascii="Cascadia Mono" w:hAnsi="Cascadia Mono"/>
          <w:color w:val="1F4D78"/>
          <w:sz w:val="17"/>
        </w:rPr>
        <w:t>DemoEventEnvelope</w:t>
        <w:br/>
        <w:t xml:space="preserve">  SchemaVersion | ProducerVersion | RunId | Sequence</w:t>
        <w:br/>
        <w:t xml:space="preserve">  OccurredAtUtc | MonotonicElapsed | CorrelationId | CausationId</w:t>
        <w:br/>
        <w:t xml:space="preserve">  Attempt | Turn | Kind | PayloadSensitivity | TypedPayload</w:t>
      </w:r>
    </w:p>
    <w:p>
      <w:pPr>
        <w:widowControl/>
      </w:pPr>
      <w:r>
        <w:rPr>
          <w:rFonts w:ascii="Calibri" w:hAnsi="Calibri"/>
          <w:color w:val="1B2638"/>
          <w:sz w:val="22"/>
        </w:rPr>
        <w:t>Do not place UI State, SourceNodeId, TargetNodeId, or EdgeId in the authoritative event contract. The runtime emits actor/tool/policy facts. A ScenarioPresentationMap translates semantic identities into stable nodes and routes, while reducers derive visual state. This keeps the scenario observable without coupling it to one Avalonia layout.</w:t>
      </w:r>
    </w:p>
    <w:p>
      <w:pPr>
        <w:pStyle w:val="Heading2"/>
        <w:keepNext/>
        <w:widowControl/>
      </w:pPr>
      <w:r>
        <w:t>Two planes with one correlation model</w:t>
      </w:r>
    </w:p>
    <w:p>
      <w:pPr>
        <w:pStyle w:val="ListBullet"/>
        <w:keepLines/>
        <w:widowControl/>
        <w:spacing w:after="80" w:line="290" w:lineRule="auto"/>
        <w:ind w:left="540" w:hanging="279"/>
      </w:pPr>
      <w:r>
        <w:rPr>
          <w:rFonts w:ascii="Calibri" w:hAnsi="Calibri"/>
          <w:color w:val="1B2638"/>
          <w:sz w:val="22"/>
        </w:rPr>
        <w:t>Authoritative evidence remains the existing tool-call journal, effect ledger, Gatekeeper findings, run-scoped containment, DemoRunOutcome, and canonical PhaseOutcome/PhaseOracle for exact presets.</w:t>
      </w:r>
    </w:p>
    <w:p>
      <w:pPr>
        <w:pStyle w:val="ListBullet"/>
        <w:keepLines/>
        <w:widowControl/>
        <w:spacing w:after="80" w:line="290" w:lineRule="auto"/>
        <w:ind w:left="540" w:hanging="279"/>
      </w:pPr>
      <w:r>
        <w:rPr>
          <w:rFonts w:ascii="Calibri" w:hAnsi="Calibri"/>
          <w:color w:val="1B2638"/>
          <w:sz w:val="22"/>
        </w:rPr>
        <w:t>The semantic recorder assigns sequence numbers before fan-out and appends every non-cosmetic fact to a per-run buffer/artifact. Observability failure must not change Gatekeeper or tool behavior.</w:t>
      </w:r>
    </w:p>
    <w:p>
      <w:pPr>
        <w:pStyle w:val="ListBullet"/>
        <w:keepLines/>
        <w:widowControl/>
        <w:spacing w:after="80" w:line="290" w:lineRule="auto"/>
        <w:ind w:left="540" w:hanging="279"/>
      </w:pPr>
      <w:r>
        <w:rPr>
          <w:rFonts w:ascii="Calibri" w:hAnsi="Calibri"/>
          <w:color w:val="1B2638"/>
          <w:sz w:val="22"/>
        </w:rPr>
        <w:t>The UI projection may be bounded and may coalesce animation ticks only. It never drops policy decisions, executions, effects, failures, checkpoints, or oracle results; any presentation loss emits ProjectionGap and catches up from the recorder.</w:t>
      </w:r>
    </w:p>
    <w:p>
      <w:pPr>
        <w:pStyle w:val="ListBullet"/>
        <w:keepLines/>
        <w:widowControl/>
        <w:spacing w:after="80" w:line="290" w:lineRule="auto"/>
        <w:ind w:left="540" w:hanging="279"/>
      </w:pPr>
      <w:r>
        <w:rPr>
          <w:rFonts w:ascii="Calibri" w:hAnsi="Calibri"/>
          <w:color w:val="1B2638"/>
          <w:sz w:val="22"/>
        </w:rPr>
        <w:t>Structured diagnostic logs remain distinct from Story/Security events but share RunId, CorrelationId, and OperationId.</w:t>
      </w:r>
    </w:p>
    <w:p>
      <w:pPr>
        <w:pStyle w:val="ListBullet"/>
        <w:keepLines/>
        <w:widowControl/>
        <w:spacing w:after="80" w:line="290" w:lineRule="auto"/>
        <w:ind w:left="540" w:hanging="279"/>
      </w:pPr>
      <w:r>
        <w:rPr>
          <w:rFonts w:ascii="Calibri" w:hAnsi="Calibri"/>
          <w:color w:val="1B2638"/>
          <w:sz w:val="22"/>
        </w:rPr>
        <w:t>Execution proceeded; no blocking finding was recorded is the narrow label after a tool starts. Never manufacture a Gatekeeper allow verdict that was not emitted.</w:t>
      </w:r>
    </w:p>
    <w:p>
      <w:pPr>
        <w:pStyle w:val="Heading2"/>
        <w:keepNext/>
        <w:widowControl/>
      </w:pPr>
      <w:r>
        <w:t>Run specification, outcome, and artifact</w:t>
      </w:r>
    </w:p>
    <w:p>
      <w:pPr>
        <w:widowControl/>
      </w:pPr>
      <w:r>
        <w:rPr>
          <w:rFonts w:ascii="Calibri" w:hAnsi="Calibri"/>
          <w:color w:val="1B2638"/>
          <w:sz w:val="22"/>
        </w:rPr>
        <w:t>Introduce RunSpecification with provider, prompt fingerprint, desired/effective evil state, normalized GateConfiguration, build/upstream fingerprints, fixture hashes, and optional canonical preset. Return a general DemoRunOutcome for every run. Only an exact preset receives the existing PhaseOutcome and PhaseOracle verdict; preserve the RunAsync(DemoPhase, ...) overload for CLI and test parity.</w:t>
      </w:r>
    </w:p>
    <w:p>
      <w:pPr>
        <w:widowControl/>
      </w:pPr>
      <w:r>
        <w:rPr>
          <w:rFonts w:ascii="Calibri" w:hAnsi="Calibri"/>
          <w:color w:val="1B2638"/>
          <w:sz w:val="22"/>
        </w:rPr>
        <w:t>Replay reads a versioned RunArtifact containing specification/provenance, redacted semantic events, completion state, artifact hashes, general outcome, and the recorded canonical outcome when applicable. It applies sequence order, detects gaps/duplicates/truncation/schema mismatch, marks integrity-unverified or incomplete traces, displays the recorded oracle result, and invokes zero model, MCP, database, or email operations.</w:t>
      </w:r>
    </w:p>
    <w:p>
      <w:pPr>
        <w:keepLines/>
        <w:spacing w:before="120" w:after="200" w:line="283" w:lineRule="auto"/>
        <w:ind w:left="173" w:right="115"/>
        <w:shd w:fill="F2EDFA" w:val="clear"/>
        <w:widowControl/>
        <w:pBdr>
          <w:left w:val="single" w:sz="28" w:space="8" w:color="7254A3"/>
        </w:pBdr>
      </w:pPr>
      <w:r>
        <w:rPr>
          <w:rFonts w:ascii="Calibri" w:hAnsi="Calibri"/>
          <w:b/>
          <w:color w:val="7254A3"/>
          <w:sz w:val="20"/>
        </w:rPr>
        <w:t xml:space="preserve">TRACE POLICY  </w:t>
      </w:r>
      <w:r>
        <w:rPr>
          <w:rFonts w:ascii="Calibri" w:hAnsi="Calibri"/>
          <w:color w:val="1B2638"/>
          <w:sz w:val="21"/>
        </w:rPr>
        <w:t>The default artifact stores bounded redacted previews, lengths, digests, marker summaries, and safe failure envelopes. Raw prompts, database rows, email bodies, hostile directives, provider metadata, and exception text require explicit ephemeral viewing or export consent and are purged on reset according to a documented retention policy.</w:t>
      </w:r>
    </w:p>
    <w:p>
      <w:pPr>
        <w:pStyle w:val="Heading1"/>
        <w:keepNext/>
        <w:widowControl/>
      </w:pPr>
      <w:r>
        <w:t>9. Import, solution, and publishing strategy</w:t>
      </w:r>
    </w:p>
    <w:p>
      <w:pPr>
        <w:keepLines/>
        <w:spacing w:before="120" w:after="200" w:line="283" w:lineRule="auto"/>
        <w:ind w:left="173" w:right="115"/>
        <w:shd w:fill="E7F6ED" w:val="clear"/>
        <w:widowControl/>
        <w:pBdr>
          <w:left w:val="single" w:sz="28" w:space="8" w:color="167245"/>
        </w:pBdr>
      </w:pPr>
      <w:r>
        <w:rPr>
          <w:rFonts w:ascii="Calibri" w:hAnsi="Calibri"/>
          <w:b/>
          <w:color w:val="167245"/>
          <w:sz w:val="20"/>
        </w:rPr>
        <w:t xml:space="preserve">PHASE 0 RULE  </w:t>
      </w:r>
      <w:r>
        <w:rPr>
          <w:rFonts w:ascii="Calibri" w:hAnsi="Calibri"/>
          <w:color w:val="1B2638"/>
          <w:sz w:val="21"/>
        </w:rPr>
        <w:t>Bring in the PartnerDesk demo, Evals sibling, and tests at the pinned commit and prove their offline behavior before adding UI events or refactoring project boundaries.</w:t>
      </w:r>
    </w:p>
    <w:p>
      <w:pPr>
        <w:widowControl/>
      </w:pPr>
      <w:r>
        <w:br w:type="page"/>
      </w:r>
    </w:p>
    <w:p>
      <w:pPr>
        <w:pStyle w:val="Heading2"/>
        <w:keepNext/>
        <w:widowControl/>
      </w:pPr>
      <w:r>
        <w:t>Separate sample provenance from library dependency</w:t>
      </w:r>
    </w:p>
    <w:tbl>
      <w:tblPr>
        <w:tblStyle w:val="TableGrid"/>
        <w:tblW w:type="dxa" w:w="9360"/>
        <w:jc w:val="left"/>
        <w:tblLayout w:type="fixed"/>
        <w:tblLook w:firstColumn="1" w:firstRow="1" w:lastColumn="0" w:lastRow="0" w:noHBand="0" w:noVBand="1" w:val="04A0"/>
        <w:tblInd w:w="120" w:type="dxa"/>
        <w:tblBorders>
          <w:top w:val="single" w:sz="6" w:space="0" w:color="D8DEE7"/>
          <w:left w:val="single" w:sz="6" w:space="0" w:color="D8DEE7"/>
          <w:bottom w:val="single" w:sz="6" w:space="0" w:color="D8DEE7"/>
          <w:right w:val="single" w:sz="6" w:space="0" w:color="D8DEE7"/>
          <w:insideH w:val="single" w:sz="6" w:space="0" w:color="D8DEE7"/>
          <w:insideV w:val="single" w:sz="6" w:space="0" w:color="D8DEE7"/>
        </w:tblBorders>
      </w:tblPr>
      <w:tblGrid>
        <w:gridCol w:w="2200"/>
        <w:gridCol w:w="3900"/>
        <w:gridCol w:w="3260"/>
      </w:tblGrid>
      <w:tr>
        <w:trPr>
          <w:tblHeader w:val="true"/>
          <w:cantSplit w:val="true"/>
        </w:trPr>
        <w:tc>
          <w:tcPr>
            <w:tcW w:type="dxa" w:w="2200"/>
            <w:shd w:fill="E8F0FA" w:val="clear"/>
            <w:tcMar>
              <w:top w:w="85" w:type="dxa"/>
              <w:start w:w="120" w:type="dxa"/>
              <w:bottom w:w="85" w:type="dxa"/>
              <w:end w:w="120" w:type="dxa"/>
            </w:tcMar>
            <w:vAlign w:val="center"/>
          </w:tcPr>
          <w:p>
            <w:pPr>
              <w:spacing w:after="0"/>
            </w:pPr>
            <w:r>
              <w:rPr>
                <w:rFonts w:ascii="Calibri" w:hAnsi="Calibri"/>
                <w:b/>
                <w:color w:val="17365D"/>
                <w:sz w:val="19"/>
              </w:rPr>
              <w:t>Concern</w:t>
            </w:r>
          </w:p>
        </w:tc>
        <w:tc>
          <w:tcPr>
            <w:tcW w:type="dxa" w:w="3900"/>
            <w:shd w:fill="E8F0FA" w:val="clear"/>
            <w:tcMar>
              <w:top w:w="85" w:type="dxa"/>
              <w:start w:w="120" w:type="dxa"/>
              <w:bottom w:w="85" w:type="dxa"/>
              <w:end w:w="120" w:type="dxa"/>
            </w:tcMar>
            <w:vAlign w:val="center"/>
          </w:tcPr>
          <w:p>
            <w:pPr>
              <w:spacing w:after="0"/>
            </w:pPr>
            <w:r>
              <w:rPr>
                <w:rFonts w:ascii="Calibri" w:hAnsi="Calibri"/>
                <w:b/>
                <w:color w:val="17365D"/>
                <w:sz w:val="19"/>
              </w:rPr>
              <w:t>Recommended treatment</w:t>
            </w:r>
          </w:p>
        </w:tc>
        <w:tc>
          <w:tcPr>
            <w:tcW w:type="dxa" w:w="3260"/>
            <w:shd w:fill="E8F0FA" w:val="clear"/>
            <w:tcMar>
              <w:top w:w="85" w:type="dxa"/>
              <w:start w:w="120" w:type="dxa"/>
              <w:bottom w:w="85" w:type="dxa"/>
              <w:end w:w="120" w:type="dxa"/>
            </w:tcMar>
            <w:vAlign w:val="center"/>
          </w:tcPr>
          <w:p>
            <w:pPr>
              <w:spacing w:after="0"/>
            </w:pPr>
            <w:r>
              <w:rPr>
                <w:rFonts w:ascii="Calibri" w:hAnsi="Calibri"/>
                <w:b/>
                <w:color w:val="17365D"/>
                <w:sz w:val="19"/>
              </w:rPr>
              <w:t>Why</w:t>
            </w:r>
          </w:p>
        </w:tc>
      </w:tr>
      <w:tr>
        <w:trPr>
          <w:cantSplit w:val="true"/>
        </w:trPr>
        <w:tc>
          <w:tcPr>
            <w:tcW w:type="dxa" w:w="2200"/>
            <w:tcMar>
              <w:top w:w="85" w:type="dxa"/>
              <w:start w:w="120" w:type="dxa"/>
              <w:bottom w:w="85" w:type="dxa"/>
              <w:end w:w="120" w:type="dxa"/>
            </w:tcMar>
            <w:vAlign w:val="center"/>
          </w:tcPr>
          <w:p>
            <w:pPr>
              <w:spacing w:after="0" w:line="259" w:lineRule="auto"/>
            </w:pPr>
            <w:r>
              <w:rPr>
                <w:rFonts w:ascii="Calibri" w:hAnsi="Calibri"/>
                <w:color w:val="1B2638"/>
                <w:sz w:val="17"/>
              </w:rPr>
              <w:t>PartnerDesk sample/Evals/tests</w:t>
            </w:r>
          </w:p>
        </w:tc>
        <w:tc>
          <w:tcPr>
            <w:tcW w:type="dxa" w:w="3900"/>
            <w:tcMar>
              <w:top w:w="85" w:type="dxa"/>
              <w:start w:w="120" w:type="dxa"/>
              <w:bottom w:w="85" w:type="dxa"/>
              <w:end w:w="120" w:type="dxa"/>
            </w:tcMar>
            <w:vAlign w:val="center"/>
          </w:tcPr>
          <w:p>
            <w:pPr>
              <w:spacing w:after="0" w:line="259" w:lineRule="auto"/>
            </w:pPr>
            <w:r>
              <w:rPr>
                <w:rFonts w:ascii="Calibri" w:hAnsi="Calibri"/>
                <w:color w:val="1B2638"/>
                <w:sz w:val="17"/>
              </w:rPr>
              <w:t>Copy the pinned sample sources locally with MIT notice and UPSTREAM.md</w:t>
            </w:r>
          </w:p>
        </w:tc>
        <w:tc>
          <w:tcPr>
            <w:tcW w:type="dxa" w:w="3260"/>
            <w:tcMar>
              <w:top w:w="85" w:type="dxa"/>
              <w:start w:w="120" w:type="dxa"/>
              <w:bottom w:w="85" w:type="dxa"/>
              <w:end w:w="120" w:type="dxa"/>
            </w:tcMar>
            <w:vAlign w:val="center"/>
          </w:tcPr>
          <w:p>
            <w:pPr>
              <w:spacing w:after="0" w:line="259" w:lineRule="auto"/>
            </w:pPr>
            <w:r>
              <w:rPr>
                <w:rFonts w:ascii="Calibri" w:hAnsi="Calibri"/>
                <w:color w:val="1B2638"/>
                <w:sz w:val="17"/>
              </w:rPr>
              <w:t>The UI must instrument and adapt these sources; a NuGet package does not contain the demo application.</w:t>
            </w:r>
          </w:p>
        </w:tc>
      </w:tr>
      <w:tr>
        <w:trPr>
          <w:cantSplit w:val="true"/>
        </w:trPr>
        <w:tc>
          <w:tcPr>
            <w:tcW w:type="dxa" w:w="2200"/>
            <w:tcMar>
              <w:top w:w="85" w:type="dxa"/>
              <w:start w:w="120" w:type="dxa"/>
              <w:bottom w:w="85" w:type="dxa"/>
              <w:end w:w="120" w:type="dxa"/>
            </w:tcMar>
            <w:vAlign w:val="center"/>
          </w:tcPr>
          <w:p>
            <w:pPr>
              <w:spacing w:after="0" w:line="259" w:lineRule="auto"/>
            </w:pPr>
            <w:r>
              <w:rPr>
                <w:rFonts w:ascii="Calibri" w:hAnsi="Calibri"/>
                <w:color w:val="1B2638"/>
                <w:sz w:val="17"/>
              </w:rPr>
              <w:t>AgentEval.MAF library</w:t>
            </w:r>
          </w:p>
        </w:tc>
        <w:tc>
          <w:tcPr>
            <w:tcW w:type="dxa" w:w="3900"/>
            <w:tcMar>
              <w:top w:w="85" w:type="dxa"/>
              <w:start w:w="120" w:type="dxa"/>
              <w:bottom w:w="85" w:type="dxa"/>
              <w:end w:w="120" w:type="dxa"/>
            </w:tcMar>
            <w:vAlign w:val="center"/>
          </w:tcPr>
          <w:p>
            <w:pPr>
              <w:spacing w:after="0" w:line="259" w:lineRule="auto"/>
            </w:pPr>
            <w:r>
              <w:rPr>
                <w:rFonts w:ascii="Calibri" w:hAnsi="Calibri"/>
                <w:color w:val="1B2638"/>
                <w:sz w:val="17"/>
              </w:rPr>
              <w:t>Use an exact PackageReference only after API-parity proof; otherwise pinned submodule/fork overlay</w:t>
            </w:r>
          </w:p>
        </w:tc>
        <w:tc>
          <w:tcPr>
            <w:tcW w:type="dxa" w:w="3260"/>
            <w:tcMar>
              <w:top w:w="85" w:type="dxa"/>
              <w:start w:w="120" w:type="dxa"/>
              <w:bottom w:w="85" w:type="dxa"/>
              <w:end w:w="120" w:type="dxa"/>
            </w:tcMar>
            <w:vAlign w:val="center"/>
          </w:tcPr>
          <w:p>
            <w:pPr>
              <w:spacing w:after="0" w:line="259" w:lineRule="auto"/>
            </w:pPr>
            <w:r>
              <w:rPr>
                <w:rFonts w:ascii="Calibri" w:hAnsi="Calibri"/>
                <w:color w:val="1B2638"/>
                <w:sz w:val="17"/>
              </w:rPr>
              <w:t>The sample currently relies on upstream project references and central version management.</w:t>
            </w:r>
          </w:p>
        </w:tc>
      </w:tr>
      <w:tr>
        <w:trPr>
          <w:cantSplit w:val="true"/>
        </w:trPr>
        <w:tc>
          <w:tcPr>
            <w:tcW w:type="dxa" w:w="2200"/>
            <w:tcMar>
              <w:top w:w="85" w:type="dxa"/>
              <w:start w:w="120" w:type="dxa"/>
              <w:bottom w:w="85" w:type="dxa"/>
              <w:end w:w="120" w:type="dxa"/>
            </w:tcMar>
            <w:vAlign w:val="center"/>
          </w:tcPr>
          <w:p>
            <w:pPr>
              <w:spacing w:after="0" w:line="259" w:lineRule="auto"/>
            </w:pPr>
            <w:r>
              <w:rPr>
                <w:rFonts w:ascii="Calibri" w:hAnsi="Calibri"/>
                <w:color w:val="1B2638"/>
                <w:sz w:val="17"/>
              </w:rPr>
              <w:t>Local modifications</w:t>
            </w:r>
          </w:p>
        </w:tc>
        <w:tc>
          <w:tcPr>
            <w:tcW w:type="dxa" w:w="3900"/>
            <w:tcMar>
              <w:top w:w="85" w:type="dxa"/>
              <w:start w:w="120" w:type="dxa"/>
              <w:bottom w:w="85" w:type="dxa"/>
              <w:end w:w="120" w:type="dxa"/>
            </w:tcMar>
            <w:vAlign w:val="center"/>
          </w:tcPr>
          <w:p>
            <w:pPr>
              <w:spacing w:after="0" w:line="259" w:lineRule="auto"/>
            </w:pPr>
            <w:r>
              <w:rPr>
                <w:rFonts w:ascii="Calibri" w:hAnsi="Calibri"/>
                <w:color w:val="1B2638"/>
                <w:sz w:val="17"/>
              </w:rPr>
              <w:t>Keep patchable code outside an untouched submodule; record source commit, file map, and sync procedure</w:t>
            </w:r>
          </w:p>
        </w:tc>
        <w:tc>
          <w:tcPr>
            <w:tcW w:type="dxa" w:w="3260"/>
            <w:tcMar>
              <w:top w:w="85" w:type="dxa"/>
              <w:start w:w="120" w:type="dxa"/>
              <w:bottom w:w="85" w:type="dxa"/>
              <w:end w:w="120" w:type="dxa"/>
            </w:tcMar>
            <w:vAlign w:val="center"/>
          </w:tcPr>
          <w:p>
            <w:pPr>
              <w:spacing w:after="0" w:line="259" w:lineRule="auto"/>
            </w:pPr>
            <w:r>
              <w:rPr>
                <w:rFonts w:ascii="Calibri" w:hAnsi="Calibri"/>
                <w:color w:val="1B2638"/>
                <w:sz w:val="17"/>
              </w:rPr>
              <w:t>Avoid untraceable partial vendoring and edits inside a dependency checkout.</w:t>
            </w:r>
          </w:p>
        </w:tc>
      </w:tr>
    </w:tbl>
    <w:p>
      <w:pPr>
        <w:widowControl/>
      </w:pPr>
      <w:r>
        <w:rPr>
          <w:rFonts w:ascii="Calibri" w:hAnsi="Calibri"/>
          <w:color w:val="1B2638"/>
          <w:sz w:val="22"/>
        </w:rPr>
        <w:t>Phase 0 must capture global.json/SDK policy, central package versions, the transitive security pin, locked restore policy, data/manifest copying, and the exact AgentEval API used by UseGatekeeper. Package availability and parity are verified by restore/build/tests, not assumed from version labels.</w:t>
      </w:r>
    </w:p>
    <w:p>
      <w:pPr>
        <w:keepLines/>
        <w:spacing w:before="80" w:after="200" w:line="240" w:lineRule="auto"/>
        <w:ind w:left="173" w:right="115"/>
        <w:shd w:fill="F5F7FA" w:val="clear"/>
        <w:widowControl/>
        <w:pBdr>
          <w:left w:val="single" w:sz="16" w:space="6" w:color="D8DEE7"/>
        </w:pBdr>
      </w:pPr>
      <w:r>
        <w:rPr>
          <w:rFonts w:ascii="Cascadia Mono" w:hAnsi="Cascadia Mono"/>
          <w:color w:val="1F4D78"/>
          <w:sz w:val="17"/>
        </w:rPr>
        <w:t>GatekeeperDemo.sln</w:t>
        <w:br/>
        <w:t>src/AgentEval.PartnerDeskDemo/          pinned scenario + CLI + MCP host</w:t>
        <w:br/>
        <w:t>src/AgentEval.PartnerDeskDemo.Evals/    reusable evaluator + thin CLI</w:t>
        <w:br/>
        <w:t>src/GatekeeperDemo.App/                 Avalonia UI + run coordinator + projections</w:t>
        <w:br/>
        <w:t>tests/AgentEval.PartnerDeskDemo.Tests/   imported canonical invariants</w:t>
        <w:br/>
        <w:t>tests/GatekeeperDemo.App.Tests/          reducers + lifecycle + replay + view tests</w:t>
        <w:br/>
        <w:t>eng/upstream/                              commit, license, sync, package fingerprints</w:t>
        <w:br/>
        <w:t>docs/                                     proposal + runbook + threat/trace policy</w:t>
      </w:r>
    </w:p>
    <w:p>
      <w:pPr>
        <w:widowControl/>
      </w:pPr>
      <w:r>
        <w:rPr>
          <w:rFonts w:ascii="Calibri" w:hAnsi="Calibri"/>
          <w:color w:val="1B2638"/>
          <w:sz w:val="22"/>
        </w:rPr>
        <w:t>Keep the imported project shape through the baseline. After it is green, expose the runner and evaluator through minimal reusable seams; split a separate runtime project only if referencing/packaging the executable becomes a demonstrated problem. The console and eval CLIs remain parity and recovery surfaces.</w:t>
      </w:r>
    </w:p>
    <w:p>
      <w:pPr>
        <w:pStyle w:val="Heading2"/>
        <w:keepNext/>
        <w:widowControl/>
      </w:pPr>
      <w:r>
        <w:t>Publish contract</w:t>
      </w:r>
    </w:p>
    <w:p>
      <w:pPr>
        <w:widowControl/>
      </w:pPr>
      <w:r>
        <w:rPr>
          <w:rFonts w:ascii="Calibri" w:hAnsi="Calibri"/>
          <w:color w:val="1B2638"/>
          <w:sz w:val="22"/>
        </w:rPr>
        <w:t>The MCP host is initially an untrimmed sidecar with its apphost/DLL, manifest, and data next to the staged application. Single-file assumptions are deferred. A publish-level smoke test must start the packaged UI, discover and handshake with the sidecar, run clean and compromised sessions, cancel/reset, and prove there is no orphan process. Test the published artifact, not only dotnet run.</w:t>
      </w:r>
    </w:p>
    <w:p>
      <w:pPr>
        <w:pStyle w:val="Heading1"/>
        <w:keepNext/>
        <w:widowControl/>
      </w:pPr>
      <w:r>
        <w:t>10. Experiment workspace: evidence after the stage MVP</w:t>
      </w:r>
    </w:p>
    <w:p>
      <w:pPr>
        <w:widowControl/>
      </w:pPr>
      <w:r>
        <w:rPr>
          <w:rFonts w:ascii="Calibri" w:hAnsi="Calibri"/>
          <w:color w:val="1B2638"/>
          <w:sz w:val="22"/>
        </w:rPr>
        <w:t>The MVP comparison is deterministic and explanatory. The later Experiment workspace drives PartnerDeskEvaluator for repeated live or scripted arms. Runs remain sequential for upstream parity; grouped-arm temporal drift is disclosed. A future research mode may predeclare randomized/counterbalanced arm order while still executing one run at a time.</w:t>
      </w:r>
    </w:p>
    <w:p>
      <w:pPr>
        <w:pStyle w:val="Heading2"/>
        <w:keepNext/>
        <w:widowControl/>
      </w:pPr>
      <w:r>
        <w:t>Result surface and run records</w:t>
      </w:r>
    </w:p>
    <w:p>
      <w:pPr>
        <w:pStyle w:val="ListBullet"/>
        <w:keepLines/>
        <w:widowControl/>
        <w:spacing w:after="80" w:line="290" w:lineRule="auto"/>
        <w:ind w:left="540" w:hanging="279"/>
      </w:pPr>
      <w:r>
        <w:rPr>
          <w:rFonts w:ascii="Calibri" w:hAnsi="Calibri"/>
          <w:color w:val="1B2638"/>
          <w:sz w:val="22"/>
        </w:rPr>
        <w:t>One row per arm with requested, completed, retried, skipped, cancelled, and failed denominators plus Wilson 95% intervals for supported proportions.</w:t>
      </w:r>
    </w:p>
    <w:p>
      <w:pPr>
        <w:pStyle w:val="ListBullet"/>
        <w:keepLines/>
        <w:widowControl/>
        <w:spacing w:after="80" w:line="290" w:lineRule="auto"/>
        <w:ind w:left="540" w:hanging="279"/>
      </w:pPr>
      <w:r>
        <w:rPr>
          <w:rFonts w:ascii="Calibri" w:hAnsi="Calibri"/>
          <w:color w:val="1B2638"/>
          <w:sz w:val="22"/>
        </w:rPr>
        <w:t>One RunRecord per requested run with safe reason, attempt count, configuration/build fingerprints, canonical metrics when available, and replay link.</w:t>
      </w:r>
    </w:p>
    <w:p>
      <w:pPr>
        <w:pStyle w:val="ListBullet"/>
        <w:keepLines/>
        <w:widowControl/>
        <w:spacing w:after="80" w:line="290" w:lineRule="auto"/>
        <w:ind w:left="540" w:hanging="279"/>
      </w:pPr>
      <w:r>
        <w:rPr>
          <w:rFonts w:ascii="Calibri" w:hAnsi="Calibri"/>
          <w:color w:val="1B2638"/>
          <w:sz w:val="22"/>
        </w:rPr>
        <w:t>Separate attack fired, damage executed, Gatekeeper intervened, and canonical story held. A model ignoring the injection is not a gate success.</w:t>
      </w:r>
    </w:p>
    <w:p>
      <w:pPr>
        <w:pStyle w:val="ListBullet"/>
        <w:keepLines/>
        <w:widowControl/>
        <w:spacing w:after="80" w:line="290" w:lineRule="auto"/>
        <w:ind w:left="540" w:hanging="279"/>
      </w:pPr>
      <w:r>
        <w:rPr>
          <w:rFonts w:ascii="Calibri" w:hAnsi="Calibri"/>
          <w:color w:val="1B2638"/>
          <w:sz w:val="22"/>
        </w:rPr>
        <w:t>Shadow-judge failure becomes Judge unavailable/unknown and never discards a valid deterministic run or changes pass/fail styling.</w:t>
      </w:r>
    </w:p>
    <w:p>
      <w:pPr>
        <w:pStyle w:val="ListBullet"/>
        <w:keepLines/>
        <w:widowControl/>
        <w:spacing w:after="80" w:line="290" w:lineRule="auto"/>
        <w:ind w:left="540" w:hanging="279"/>
      </w:pPr>
      <w:r>
        <w:rPr>
          <w:rFonts w:ascii="Calibri" w:hAnsi="Calibri"/>
          <w:color w:val="1B2638"/>
          <w:sz w:val="22"/>
        </w:rPr>
        <w:t>Small-N and interval results are descriptive; overlapping or non-overlapping Wilson intervals are not presented as significance tests.</w:t>
      </w:r>
    </w:p>
    <w:p>
      <w:pPr>
        <w:keepLines/>
        <w:spacing w:before="120" w:after="200" w:line="283" w:lineRule="auto"/>
        <w:ind w:left="173" w:right="115"/>
        <w:shd w:fill="FFF4D6" w:val="clear"/>
        <w:widowControl/>
        <w:pBdr>
          <w:left w:val="single" w:sz="28" w:space="8" w:color="8A5A00"/>
        </w:pBdr>
      </w:pPr>
      <w:r>
        <w:rPr>
          <w:rFonts w:ascii="Calibri" w:hAnsi="Calibri"/>
          <w:b/>
          <w:color w:val="8A5A00"/>
          <w:sz w:val="20"/>
        </w:rPr>
        <w:t xml:space="preserve">PERSISTENT LABEL  </w:t>
      </w:r>
      <w:r>
        <w:rPr>
          <w:rFonts w:ascii="Calibri" w:hAnsi="Calibri"/>
          <w:color w:val="1B2638"/>
          <w:sz w:val="21"/>
        </w:rPr>
        <w:t>SCRIPTED is deterministic rehearsal, not model-efficacy evidence. LIVE is stochastic and only supports claims through completed denominators and the declared evaluation protocol.</w:t>
      </w:r>
    </w:p>
    <w:p>
      <w:pPr>
        <w:pStyle w:val="Heading1"/>
        <w:keepNext/>
        <w:widowControl/>
      </w:pPr>
      <w:r>
        <w:t>11. Delivery plan and estimate</w:t>
      </w:r>
    </w:p>
    <w:tbl>
      <w:tblPr>
        <w:tblStyle w:val="TableGrid"/>
        <w:tblW w:type="dxa" w:w="9360"/>
        <w:jc w:val="left"/>
        <w:tblLayout w:type="fixed"/>
        <w:tblLook w:firstColumn="1" w:firstRow="1" w:lastColumn="0" w:lastRow="0" w:noHBand="0" w:noVBand="1" w:val="04A0"/>
        <w:tblInd w:w="120" w:type="dxa"/>
        <w:tblBorders>
          <w:top w:val="single" w:sz="6" w:space="0" w:color="D8DEE7"/>
          <w:left w:val="single" w:sz="6" w:space="0" w:color="D8DEE7"/>
          <w:bottom w:val="single" w:sz="6" w:space="0" w:color="D8DEE7"/>
          <w:right w:val="single" w:sz="6" w:space="0" w:color="D8DEE7"/>
          <w:insideH w:val="single" w:sz="6" w:space="0" w:color="D8DEE7"/>
          <w:insideV w:val="single" w:sz="6" w:space="0" w:color="D8DEE7"/>
        </w:tblBorders>
      </w:tblPr>
      <w:tblGrid>
        <w:gridCol w:w="650"/>
        <w:gridCol w:w="2250"/>
        <w:gridCol w:w="3100"/>
        <w:gridCol w:w="950"/>
        <w:gridCol w:w="2410"/>
      </w:tblGrid>
      <w:tr>
        <w:trPr>
          <w:tblHeader w:val="true"/>
          <w:cantSplit w:val="true"/>
        </w:trPr>
        <w:tc>
          <w:tcPr>
            <w:tcW w:type="dxa" w:w="650"/>
            <w:shd w:fill="E8F0FA" w:val="clear"/>
            <w:tcMar>
              <w:top w:w="85" w:type="dxa"/>
              <w:start w:w="120" w:type="dxa"/>
              <w:bottom w:w="85" w:type="dxa"/>
              <w:end w:w="120" w:type="dxa"/>
            </w:tcMar>
            <w:vAlign w:val="center"/>
          </w:tcPr>
          <w:p>
            <w:pPr>
              <w:spacing w:after="0"/>
            </w:pPr>
            <w:r>
              <w:rPr>
                <w:rFonts w:ascii="Calibri" w:hAnsi="Calibri"/>
                <w:b/>
                <w:color w:val="17365D"/>
                <w:sz w:val="19"/>
              </w:rPr>
              <w:t>Slice</w:t>
            </w:r>
          </w:p>
        </w:tc>
        <w:tc>
          <w:tcPr>
            <w:tcW w:type="dxa" w:w="2250"/>
            <w:shd w:fill="E8F0FA" w:val="clear"/>
            <w:tcMar>
              <w:top w:w="85" w:type="dxa"/>
              <w:start w:w="120" w:type="dxa"/>
              <w:bottom w:w="85" w:type="dxa"/>
              <w:end w:w="120" w:type="dxa"/>
            </w:tcMar>
            <w:vAlign w:val="center"/>
          </w:tcPr>
          <w:p>
            <w:pPr>
              <w:spacing w:after="0"/>
            </w:pPr>
            <w:r>
              <w:rPr>
                <w:rFonts w:ascii="Calibri" w:hAnsi="Calibri"/>
                <w:b/>
                <w:color w:val="17365D"/>
                <w:sz w:val="19"/>
              </w:rPr>
              <w:t>Deliverable</w:t>
            </w:r>
          </w:p>
        </w:tc>
        <w:tc>
          <w:tcPr>
            <w:tcW w:type="dxa" w:w="3100"/>
            <w:shd w:fill="E8F0FA" w:val="clear"/>
            <w:tcMar>
              <w:top w:w="85" w:type="dxa"/>
              <w:start w:w="120" w:type="dxa"/>
              <w:bottom w:w="85" w:type="dxa"/>
              <w:end w:w="120" w:type="dxa"/>
            </w:tcMar>
            <w:vAlign w:val="center"/>
          </w:tcPr>
          <w:p>
            <w:pPr>
              <w:spacing w:after="0"/>
            </w:pPr>
            <w:r>
              <w:rPr>
                <w:rFonts w:ascii="Calibri" w:hAnsi="Calibri"/>
                <w:b/>
                <w:color w:val="17365D"/>
                <w:sz w:val="19"/>
              </w:rPr>
              <w:t>Exit gate</w:t>
            </w:r>
          </w:p>
        </w:tc>
        <w:tc>
          <w:tcPr>
            <w:tcW w:type="dxa" w:w="950"/>
            <w:shd w:fill="E8F0FA" w:val="clear"/>
            <w:tcMar>
              <w:top w:w="85" w:type="dxa"/>
              <w:start w:w="120" w:type="dxa"/>
              <w:bottom w:w="85" w:type="dxa"/>
              <w:end w:w="120" w:type="dxa"/>
            </w:tcMar>
            <w:vAlign w:val="center"/>
          </w:tcPr>
          <w:p>
            <w:pPr>
              <w:spacing w:after="0"/>
            </w:pPr>
            <w:r>
              <w:rPr>
                <w:rFonts w:ascii="Calibri" w:hAnsi="Calibri"/>
                <w:b/>
                <w:color w:val="17365D"/>
                <w:sz w:val="19"/>
              </w:rPr>
              <w:t>Effort</w:t>
            </w:r>
          </w:p>
        </w:tc>
        <w:tc>
          <w:tcPr>
            <w:tcW w:type="dxa" w:w="2410"/>
            <w:shd w:fill="E8F0FA" w:val="clear"/>
            <w:tcMar>
              <w:top w:w="85" w:type="dxa"/>
              <w:start w:w="120" w:type="dxa"/>
              <w:bottom w:w="85" w:type="dxa"/>
              <w:end w:w="120" w:type="dxa"/>
            </w:tcMar>
            <w:vAlign w:val="center"/>
          </w:tcPr>
          <w:p>
            <w:pPr>
              <w:spacing w:after="0"/>
            </w:pPr>
            <w:r>
              <w:rPr>
                <w:rFonts w:ascii="Calibri" w:hAnsi="Calibri"/>
                <w:b/>
                <w:color w:val="17365D"/>
                <w:sz w:val="19"/>
              </w:rPr>
              <w:t>Dependency</w:t>
            </w:r>
          </w:p>
        </w:tc>
      </w:tr>
      <w:tr>
        <w:trPr>
          <w:cantSplit w:val="true"/>
        </w:trPr>
        <w:tc>
          <w:tcPr>
            <w:tcW w:type="dxa" w:w="650"/>
            <w:tcMar>
              <w:top w:w="85" w:type="dxa"/>
              <w:start w:w="120" w:type="dxa"/>
              <w:bottom w:w="85" w:type="dxa"/>
              <w:end w:w="120" w:type="dxa"/>
            </w:tcMar>
            <w:vAlign w:val="center"/>
          </w:tcPr>
          <w:p>
            <w:pPr>
              <w:spacing w:after="0" w:line="259" w:lineRule="auto"/>
            </w:pPr>
            <w:r>
              <w:rPr>
                <w:rFonts w:ascii="Calibri" w:hAnsi="Calibri"/>
                <w:color w:val="1B2638"/>
                <w:sz w:val="16"/>
              </w:rPr>
              <w:t>0</w:t>
            </w:r>
          </w:p>
        </w:tc>
        <w:tc>
          <w:tcPr>
            <w:tcW w:type="dxa" w:w="2250"/>
            <w:tcMar>
              <w:top w:w="85" w:type="dxa"/>
              <w:start w:w="120" w:type="dxa"/>
              <w:bottom w:w="85" w:type="dxa"/>
              <w:end w:w="120" w:type="dxa"/>
            </w:tcMar>
            <w:vAlign w:val="center"/>
          </w:tcPr>
          <w:p>
            <w:pPr>
              <w:spacing w:after="0" w:line="259" w:lineRule="auto"/>
            </w:pPr>
            <w:r>
              <w:rPr>
                <w:rFonts w:ascii="Calibri" w:hAnsi="Calibri"/>
                <w:color w:val="1B2638"/>
                <w:sz w:val="16"/>
              </w:rPr>
              <w:t>Pinned baseline, provenance, restore policy, CLI/eval/tests</w:t>
            </w:r>
          </w:p>
        </w:tc>
        <w:tc>
          <w:tcPr>
            <w:tcW w:type="dxa" w:w="3100"/>
            <w:tcMar>
              <w:top w:w="85" w:type="dxa"/>
              <w:start w:w="120" w:type="dxa"/>
              <w:bottom w:w="85" w:type="dxa"/>
              <w:end w:w="120" w:type="dxa"/>
            </w:tcMar>
            <w:vAlign w:val="center"/>
          </w:tcPr>
          <w:p>
            <w:pPr>
              <w:spacing w:after="0" w:line="259" w:lineRule="auto"/>
            </w:pPr>
            <w:r>
              <w:rPr>
                <w:rFonts w:ascii="Calibri" w:hAnsi="Calibri"/>
                <w:color w:val="1B2638"/>
                <w:sz w:val="16"/>
              </w:rPr>
              <w:t>Offline --all, Evals self-test, MCP boundary and publish discovery pass</w:t>
            </w:r>
          </w:p>
        </w:tc>
        <w:tc>
          <w:tcPr>
            <w:tcW w:type="dxa" w:w="950"/>
            <w:tcMar>
              <w:top w:w="85" w:type="dxa"/>
              <w:start w:w="120" w:type="dxa"/>
              <w:bottom w:w="85" w:type="dxa"/>
              <w:end w:w="120" w:type="dxa"/>
            </w:tcMar>
            <w:vAlign w:val="center"/>
          </w:tcPr>
          <w:p>
            <w:pPr>
              <w:spacing w:after="0" w:line="259" w:lineRule="auto"/>
            </w:pPr>
            <w:r>
              <w:rPr>
                <w:rFonts w:ascii="Calibri" w:hAnsi="Calibri"/>
                <w:color w:val="1B2638"/>
                <w:sz w:val="16"/>
              </w:rPr>
              <w:t>2-4 d</w:t>
            </w:r>
          </w:p>
        </w:tc>
        <w:tc>
          <w:tcPr>
            <w:tcW w:type="dxa" w:w="2410"/>
            <w:tcMar>
              <w:top w:w="85" w:type="dxa"/>
              <w:start w:w="120" w:type="dxa"/>
              <w:bottom w:w="85" w:type="dxa"/>
              <w:end w:w="120" w:type="dxa"/>
            </w:tcMar>
            <w:vAlign w:val="center"/>
          </w:tcPr>
          <w:p>
            <w:pPr>
              <w:spacing w:after="0" w:line="259" w:lineRule="auto"/>
            </w:pPr>
            <w:r>
              <w:rPr>
                <w:rFonts w:ascii="Calibri" w:hAnsi="Calibri"/>
                <w:color w:val="1B2638"/>
                <w:sz w:val="16"/>
              </w:rPr>
              <w:t>Upstream API/package parity</w:t>
            </w:r>
          </w:p>
        </w:tc>
      </w:tr>
      <w:tr>
        <w:trPr>
          <w:cantSplit w:val="true"/>
        </w:trPr>
        <w:tc>
          <w:tcPr>
            <w:tcW w:type="dxa" w:w="650"/>
            <w:tcMar>
              <w:top w:w="85" w:type="dxa"/>
              <w:start w:w="120" w:type="dxa"/>
              <w:bottom w:w="85" w:type="dxa"/>
              <w:end w:w="120" w:type="dxa"/>
            </w:tcMar>
            <w:vAlign w:val="center"/>
          </w:tcPr>
          <w:p>
            <w:pPr>
              <w:spacing w:after="0" w:line="259" w:lineRule="auto"/>
            </w:pPr>
            <w:r>
              <w:rPr>
                <w:rFonts w:ascii="Calibri" w:hAnsi="Calibri"/>
                <w:color w:val="1B2638"/>
                <w:sz w:val="16"/>
              </w:rPr>
              <w:t>1</w:t>
            </w:r>
          </w:p>
        </w:tc>
        <w:tc>
          <w:tcPr>
            <w:tcW w:type="dxa" w:w="2250"/>
            <w:tcMar>
              <w:top w:w="85" w:type="dxa"/>
              <w:start w:w="120" w:type="dxa"/>
              <w:bottom w:w="85" w:type="dxa"/>
              <w:end w:w="120" w:type="dxa"/>
            </w:tcMar>
            <w:vAlign w:val="center"/>
          </w:tcPr>
          <w:p>
            <w:pPr>
              <w:spacing w:after="0" w:line="259" w:lineRule="auto"/>
            </w:pPr>
            <w:r>
              <w:rPr>
                <w:rFonts w:ascii="Calibri" w:hAnsi="Calibri"/>
                <w:color w:val="1B2638"/>
                <w:sz w:val="16"/>
              </w:rPr>
              <w:t>RunSpecification, semantic recorder, outcomes, redacted RunArtifact, replay</w:t>
            </w:r>
          </w:p>
        </w:tc>
        <w:tc>
          <w:tcPr>
            <w:tcW w:type="dxa" w:w="3100"/>
            <w:tcMar>
              <w:top w:w="85" w:type="dxa"/>
              <w:start w:w="120" w:type="dxa"/>
              <w:bottom w:w="85" w:type="dxa"/>
              <w:end w:w="120" w:type="dxa"/>
            </w:tcMar>
            <w:vAlign w:val="center"/>
          </w:tcPr>
          <w:p>
            <w:pPr>
              <w:spacing w:after="0" w:line="259" w:lineRule="auto"/>
            </w:pPr>
            <w:r>
              <w:rPr>
                <w:rFonts w:ascii="Calibri" w:hAnsi="Calibri"/>
                <w:color w:val="1B2638"/>
                <w:sz w:val="16"/>
              </w:rPr>
              <w:t>Golden phase traces; replay final state equals live; replay invokes zero operations</w:t>
            </w:r>
          </w:p>
        </w:tc>
        <w:tc>
          <w:tcPr>
            <w:tcW w:type="dxa" w:w="950"/>
            <w:tcMar>
              <w:top w:w="85" w:type="dxa"/>
              <w:start w:w="120" w:type="dxa"/>
              <w:bottom w:w="85" w:type="dxa"/>
              <w:end w:w="120" w:type="dxa"/>
            </w:tcMar>
            <w:vAlign w:val="center"/>
          </w:tcPr>
          <w:p>
            <w:pPr>
              <w:spacing w:after="0" w:line="259" w:lineRule="auto"/>
            </w:pPr>
            <w:r>
              <w:rPr>
                <w:rFonts w:ascii="Calibri" w:hAnsi="Calibri"/>
                <w:color w:val="1B2638"/>
                <w:sz w:val="16"/>
              </w:rPr>
              <w:t>4-6 d</w:t>
            </w:r>
          </w:p>
        </w:tc>
        <w:tc>
          <w:tcPr>
            <w:tcW w:type="dxa" w:w="2410"/>
            <w:tcMar>
              <w:top w:w="85" w:type="dxa"/>
              <w:start w:w="120" w:type="dxa"/>
              <w:bottom w:w="85" w:type="dxa"/>
              <w:end w:w="120" w:type="dxa"/>
            </w:tcMar>
            <w:vAlign w:val="center"/>
          </w:tcPr>
          <w:p>
            <w:pPr>
              <w:spacing w:after="0" w:line="259" w:lineRule="auto"/>
            </w:pPr>
            <w:r>
              <w:rPr>
                <w:rFonts w:ascii="Calibri" w:hAnsi="Calibri"/>
                <w:color w:val="1B2638"/>
                <w:sz w:val="16"/>
              </w:rPr>
              <w:t>Stable baseline seams</w:t>
            </w:r>
          </w:p>
        </w:tc>
      </w:tr>
      <w:tr>
        <w:trPr>
          <w:cantSplit w:val="true"/>
        </w:trPr>
        <w:tc>
          <w:tcPr>
            <w:tcW w:type="dxa" w:w="650"/>
            <w:tcMar>
              <w:top w:w="85" w:type="dxa"/>
              <w:start w:w="120" w:type="dxa"/>
              <w:bottom w:w="85" w:type="dxa"/>
              <w:end w:w="120" w:type="dxa"/>
            </w:tcMar>
            <w:vAlign w:val="center"/>
          </w:tcPr>
          <w:p>
            <w:pPr>
              <w:spacing w:after="0" w:line="259" w:lineRule="auto"/>
            </w:pPr>
            <w:r>
              <w:rPr>
                <w:rFonts w:ascii="Calibri" w:hAnsi="Calibri"/>
                <w:color w:val="1B2638"/>
                <w:sz w:val="16"/>
              </w:rPr>
              <w:t>2</w:t>
            </w:r>
          </w:p>
        </w:tc>
        <w:tc>
          <w:tcPr>
            <w:tcW w:type="dxa" w:w="2250"/>
            <w:tcMar>
              <w:top w:w="85" w:type="dxa"/>
              <w:start w:w="120" w:type="dxa"/>
              <w:bottom w:w="85" w:type="dxa"/>
              <w:end w:w="120" w:type="dxa"/>
            </w:tcMar>
            <w:vAlign w:val="center"/>
          </w:tcPr>
          <w:p>
            <w:pPr>
              <w:spacing w:after="0" w:line="259" w:lineRule="auto"/>
            </w:pPr>
            <w:r>
              <w:rPr>
                <w:rFonts w:ascii="Calibri" w:hAnsi="Calibri"/>
                <w:color w:val="1B2638"/>
                <w:sz w:val="16"/>
              </w:rPr>
              <w:t>Avalonia shell, inline graph, Story/Security timeline, Debug, inspector/evidence rail</w:t>
            </w:r>
          </w:p>
        </w:tc>
        <w:tc>
          <w:tcPr>
            <w:tcW w:type="dxa" w:w="3100"/>
            <w:tcMar>
              <w:top w:w="85" w:type="dxa"/>
              <w:start w:w="120" w:type="dxa"/>
              <w:bottom w:w="85" w:type="dxa"/>
              <w:end w:w="120" w:type="dxa"/>
            </w:tcMar>
            <w:vAlign w:val="center"/>
          </w:tcPr>
          <w:p>
            <w:pPr>
              <w:spacing w:after="0" w:line="259" w:lineRule="auto"/>
            </w:pPr>
            <w:r>
              <w:rPr>
                <w:rFonts w:ascii="Calibri" w:hAnsi="Calibri"/>
                <w:color w:val="1B2638"/>
                <w:sz w:val="16"/>
              </w:rPr>
              <w:t>All four scripted scenes are distinct, accessible, and oracle-correct</w:t>
            </w:r>
          </w:p>
        </w:tc>
        <w:tc>
          <w:tcPr>
            <w:tcW w:type="dxa" w:w="950"/>
            <w:tcMar>
              <w:top w:w="85" w:type="dxa"/>
              <w:start w:w="120" w:type="dxa"/>
              <w:bottom w:w="85" w:type="dxa"/>
              <w:end w:w="120" w:type="dxa"/>
            </w:tcMar>
            <w:vAlign w:val="center"/>
          </w:tcPr>
          <w:p>
            <w:pPr>
              <w:spacing w:after="0" w:line="259" w:lineRule="auto"/>
            </w:pPr>
            <w:r>
              <w:rPr>
                <w:rFonts w:ascii="Calibri" w:hAnsi="Calibri"/>
                <w:color w:val="1B2638"/>
                <w:sz w:val="16"/>
              </w:rPr>
              <w:t>7-10 d</w:t>
            </w:r>
          </w:p>
        </w:tc>
        <w:tc>
          <w:tcPr>
            <w:tcW w:type="dxa" w:w="2410"/>
            <w:tcMar>
              <w:top w:w="85" w:type="dxa"/>
              <w:start w:w="120" w:type="dxa"/>
              <w:bottom w:w="85" w:type="dxa"/>
              <w:end w:w="120" w:type="dxa"/>
            </w:tcMar>
            <w:vAlign w:val="center"/>
          </w:tcPr>
          <w:p>
            <w:pPr>
              <w:spacing w:after="0" w:line="259" w:lineRule="auto"/>
            </w:pPr>
            <w:r>
              <w:rPr>
                <w:rFonts w:ascii="Calibri" w:hAnsi="Calibri"/>
                <w:color w:val="1B2638"/>
                <w:sz w:val="16"/>
              </w:rPr>
              <w:t>Event/projection contract</w:t>
            </w:r>
          </w:p>
        </w:tc>
      </w:tr>
      <w:tr>
        <w:trPr>
          <w:cantSplit w:val="true"/>
        </w:trPr>
        <w:tc>
          <w:tcPr>
            <w:tcW w:type="dxa" w:w="650"/>
            <w:tcMar>
              <w:top w:w="85" w:type="dxa"/>
              <w:start w:w="120" w:type="dxa"/>
              <w:bottom w:w="85" w:type="dxa"/>
              <w:end w:w="120" w:type="dxa"/>
            </w:tcMar>
            <w:vAlign w:val="center"/>
          </w:tcPr>
          <w:p>
            <w:pPr>
              <w:spacing w:after="0" w:line="259" w:lineRule="auto"/>
            </w:pPr>
            <w:r>
              <w:rPr>
                <w:rFonts w:ascii="Calibri" w:hAnsi="Calibri"/>
                <w:color w:val="1B2638"/>
                <w:sz w:val="16"/>
              </w:rPr>
              <w:t>3</w:t>
            </w:r>
          </w:p>
        </w:tc>
        <w:tc>
          <w:tcPr>
            <w:tcW w:type="dxa" w:w="2250"/>
            <w:tcMar>
              <w:top w:w="85" w:type="dxa"/>
              <w:start w:w="120" w:type="dxa"/>
              <w:bottom w:w="85" w:type="dxa"/>
              <w:end w:w="120" w:type="dxa"/>
            </w:tcMar>
            <w:vAlign w:val="center"/>
          </w:tcPr>
          <w:p>
            <w:pPr>
              <w:spacing w:after="0" w:line="259" w:lineRule="auto"/>
            </w:pPr>
            <w:r>
              <w:rPr>
                <w:rFonts w:ascii="Calibri" w:hAnsi="Calibri"/>
                <w:color w:val="1B2638"/>
                <w:sz w:val="16"/>
              </w:rPr>
              <w:t>Presets, evil restart, protection controls, deterministic comparison, cancel/reset</w:t>
            </w:r>
          </w:p>
        </w:tc>
        <w:tc>
          <w:tcPr>
            <w:tcW w:type="dxa" w:w="3100"/>
            <w:tcMar>
              <w:top w:w="85" w:type="dxa"/>
              <w:start w:w="120" w:type="dxa"/>
              <w:bottom w:w="85" w:type="dxa"/>
              <w:end w:w="120" w:type="dxa"/>
            </w:tcMar>
            <w:vAlign w:val="center"/>
          </w:tcPr>
          <w:p>
            <w:pPr>
              <w:spacing w:after="0" w:line="259" w:lineRule="auto"/>
            </w:pPr>
            <w:r>
              <w:rPr>
                <w:rFonts w:ascii="Calibri" w:hAnsi="Calibri"/>
                <w:color w:val="1B2638"/>
                <w:sz w:val="16"/>
              </w:rPr>
              <w:t>Clean snapshot per arm; no orphan process; invalid protection states rejected</w:t>
            </w:r>
          </w:p>
        </w:tc>
        <w:tc>
          <w:tcPr>
            <w:tcW w:type="dxa" w:w="950"/>
            <w:tcMar>
              <w:top w:w="85" w:type="dxa"/>
              <w:start w:w="120" w:type="dxa"/>
              <w:bottom w:w="85" w:type="dxa"/>
              <w:end w:w="120" w:type="dxa"/>
            </w:tcMar>
            <w:vAlign w:val="center"/>
          </w:tcPr>
          <w:p>
            <w:pPr>
              <w:spacing w:after="0" w:line="259" w:lineRule="auto"/>
            </w:pPr>
            <w:r>
              <w:rPr>
                <w:rFonts w:ascii="Calibri" w:hAnsi="Calibri"/>
                <w:color w:val="1B2638"/>
                <w:sz w:val="16"/>
              </w:rPr>
              <w:t>4-6 d</w:t>
            </w:r>
          </w:p>
        </w:tc>
        <w:tc>
          <w:tcPr>
            <w:tcW w:type="dxa" w:w="2410"/>
            <w:tcMar>
              <w:top w:w="85" w:type="dxa"/>
              <w:start w:w="120" w:type="dxa"/>
              <w:bottom w:w="85" w:type="dxa"/>
              <w:end w:w="120" w:type="dxa"/>
            </w:tcMar>
            <w:vAlign w:val="center"/>
          </w:tcPr>
          <w:p>
            <w:pPr>
              <w:spacing w:after="0" w:line="259" w:lineRule="auto"/>
            </w:pPr>
            <w:r>
              <w:rPr>
                <w:rFonts w:ascii="Calibri" w:hAnsi="Calibri"/>
                <w:color w:val="1B2638"/>
                <w:sz w:val="16"/>
              </w:rPr>
              <w:t>RunCoordinator/lifecycle</w:t>
            </w:r>
          </w:p>
        </w:tc>
      </w:tr>
      <w:tr>
        <w:trPr>
          <w:cantSplit w:val="true"/>
        </w:trPr>
        <w:tc>
          <w:tcPr>
            <w:tcW w:type="dxa" w:w="650"/>
            <w:tcMar>
              <w:top w:w="85" w:type="dxa"/>
              <w:start w:w="120" w:type="dxa"/>
              <w:bottom w:w="85" w:type="dxa"/>
              <w:end w:w="120" w:type="dxa"/>
            </w:tcMar>
            <w:vAlign w:val="center"/>
          </w:tcPr>
          <w:p>
            <w:pPr>
              <w:spacing w:after="0" w:line="259" w:lineRule="auto"/>
            </w:pPr>
            <w:r>
              <w:rPr>
                <w:rFonts w:ascii="Calibri" w:hAnsi="Calibri"/>
                <w:color w:val="1B2638"/>
                <w:sz w:val="16"/>
              </w:rPr>
              <w:t>4</w:t>
            </w:r>
          </w:p>
        </w:tc>
        <w:tc>
          <w:tcPr>
            <w:tcW w:type="dxa" w:w="2250"/>
            <w:tcMar>
              <w:top w:w="85" w:type="dxa"/>
              <w:start w:w="120" w:type="dxa"/>
              <w:bottom w:w="85" w:type="dxa"/>
              <w:end w:w="120" w:type="dxa"/>
            </w:tcMar>
            <w:vAlign w:val="center"/>
          </w:tcPr>
          <w:p>
            <w:pPr>
              <w:spacing w:after="0" w:line="259" w:lineRule="auto"/>
            </w:pPr>
            <w:r>
              <w:rPr>
                <w:rFonts w:ascii="Calibri" w:hAnsi="Calibri"/>
                <w:color w:val="1B2638"/>
                <w:sz w:val="16"/>
              </w:rPr>
              <w:t>Stage polish, high contrast, scale/projector modes, runbook, packaged sidecar</w:t>
            </w:r>
          </w:p>
        </w:tc>
        <w:tc>
          <w:tcPr>
            <w:tcW w:type="dxa" w:w="3100"/>
            <w:tcMar>
              <w:top w:w="85" w:type="dxa"/>
              <w:start w:w="120" w:type="dxa"/>
              <w:bottom w:w="85" w:type="dxa"/>
              <w:end w:w="120" w:type="dxa"/>
            </w:tcMar>
            <w:vAlign w:val="center"/>
          </w:tcPr>
          <w:p>
            <w:pPr>
              <w:spacing w:after="0" w:line="259" w:lineRule="auto"/>
            </w:pPr>
            <w:r>
              <w:rPr>
                <w:rFonts w:ascii="Calibri" w:hAnsi="Calibri"/>
                <w:color w:val="1B2638"/>
                <w:sz w:val="16"/>
              </w:rPr>
              <w:t>Visual smoke at 1280x720, 1280x800, 1920x1080; rehearsal reset reliable</w:t>
            </w:r>
          </w:p>
        </w:tc>
        <w:tc>
          <w:tcPr>
            <w:tcW w:type="dxa" w:w="950"/>
            <w:tcMar>
              <w:top w:w="85" w:type="dxa"/>
              <w:start w:w="120" w:type="dxa"/>
              <w:bottom w:w="85" w:type="dxa"/>
              <w:end w:w="120" w:type="dxa"/>
            </w:tcMar>
            <w:vAlign w:val="center"/>
          </w:tcPr>
          <w:p>
            <w:pPr>
              <w:spacing w:after="0" w:line="259" w:lineRule="auto"/>
            </w:pPr>
            <w:r>
              <w:rPr>
                <w:rFonts w:ascii="Calibri" w:hAnsi="Calibri"/>
                <w:color w:val="1B2638"/>
                <w:sz w:val="16"/>
              </w:rPr>
              <w:t>4-6 d</w:t>
            </w:r>
          </w:p>
        </w:tc>
        <w:tc>
          <w:tcPr>
            <w:tcW w:type="dxa" w:w="2410"/>
            <w:tcMar>
              <w:top w:w="85" w:type="dxa"/>
              <w:start w:w="120" w:type="dxa"/>
              <w:bottom w:w="85" w:type="dxa"/>
              <w:end w:w="120" w:type="dxa"/>
            </w:tcMar>
            <w:vAlign w:val="center"/>
          </w:tcPr>
          <w:p>
            <w:pPr>
              <w:spacing w:after="0" w:line="259" w:lineRule="auto"/>
            </w:pPr>
            <w:r>
              <w:rPr>
                <w:rFonts w:ascii="Calibri" w:hAnsi="Calibri"/>
                <w:color w:val="1B2638"/>
                <w:sz w:val="16"/>
              </w:rPr>
              <w:t>Target packaging environment</w:t>
            </w:r>
          </w:p>
        </w:tc>
      </w:tr>
      <w:tr>
        <w:trPr>
          <w:cantSplit w:val="true"/>
        </w:trPr>
        <w:tc>
          <w:tcPr>
            <w:tcW w:type="dxa" w:w="650"/>
            <w:tcMar>
              <w:top w:w="85" w:type="dxa"/>
              <w:start w:w="120" w:type="dxa"/>
              <w:bottom w:w="85" w:type="dxa"/>
              <w:end w:w="120" w:type="dxa"/>
            </w:tcMar>
            <w:vAlign w:val="center"/>
          </w:tcPr>
          <w:p>
            <w:pPr>
              <w:spacing w:after="0" w:line="259" w:lineRule="auto"/>
            </w:pPr>
            <w:r>
              <w:rPr>
                <w:rFonts w:ascii="Calibri" w:hAnsi="Calibri"/>
                <w:color w:val="1B2638"/>
                <w:sz w:val="16"/>
              </w:rPr>
              <w:t>5 later</w:t>
            </w:r>
          </w:p>
        </w:tc>
        <w:tc>
          <w:tcPr>
            <w:tcW w:type="dxa" w:w="2250"/>
            <w:tcMar>
              <w:top w:w="85" w:type="dxa"/>
              <w:start w:w="120" w:type="dxa"/>
              <w:bottom w:w="85" w:type="dxa"/>
              <w:end w:w="120" w:type="dxa"/>
            </w:tcMar>
            <w:vAlign w:val="center"/>
          </w:tcPr>
          <w:p>
            <w:pPr>
              <w:spacing w:after="0" w:line="259" w:lineRule="auto"/>
            </w:pPr>
            <w:r>
              <w:rPr>
                <w:rFonts w:ascii="Calibri" w:hAnsi="Calibri"/>
                <w:color w:val="1B2638"/>
                <w:sz w:val="16"/>
              </w:rPr>
              <w:t>Live provider, true checkpoints, Experiment, cross-platform packaging</w:t>
            </w:r>
          </w:p>
        </w:tc>
        <w:tc>
          <w:tcPr>
            <w:tcW w:type="dxa" w:w="3100"/>
            <w:tcMar>
              <w:top w:w="85" w:type="dxa"/>
              <w:start w:w="120" w:type="dxa"/>
              <w:bottom w:w="85" w:type="dxa"/>
              <w:end w:w="120" w:type="dxa"/>
            </w:tcMar>
            <w:vAlign w:val="center"/>
          </w:tcPr>
          <w:p>
            <w:pPr>
              <w:spacing w:after="0" w:line="259" w:lineRule="auto"/>
            </w:pPr>
            <w:r>
              <w:rPr>
                <w:rFonts w:ascii="Calibri" w:hAnsi="Calibri"/>
                <w:color w:val="1B2638"/>
                <w:sz w:val="16"/>
              </w:rPr>
              <w:t>Separate protocol, tests, and release decision</w:t>
            </w:r>
          </w:p>
        </w:tc>
        <w:tc>
          <w:tcPr>
            <w:tcW w:type="dxa" w:w="950"/>
            <w:tcMar>
              <w:top w:w="85" w:type="dxa"/>
              <w:start w:w="120" w:type="dxa"/>
              <w:bottom w:w="85" w:type="dxa"/>
              <w:end w:w="120" w:type="dxa"/>
            </w:tcMar>
            <w:vAlign w:val="center"/>
          </w:tcPr>
          <w:p>
            <w:pPr>
              <w:spacing w:after="0" w:line="259" w:lineRule="auto"/>
            </w:pPr>
            <w:r>
              <w:rPr>
                <w:rFonts w:ascii="Calibri" w:hAnsi="Calibri"/>
                <w:color w:val="1B2638"/>
                <w:sz w:val="16"/>
              </w:rPr>
              <w:t>3-5 wk</w:t>
            </w:r>
          </w:p>
        </w:tc>
        <w:tc>
          <w:tcPr>
            <w:tcW w:type="dxa" w:w="2410"/>
            <w:tcMar>
              <w:top w:w="85" w:type="dxa"/>
              <w:start w:w="120" w:type="dxa"/>
              <w:bottom w:w="85" w:type="dxa"/>
              <w:end w:w="120" w:type="dxa"/>
            </w:tcMar>
            <w:vAlign w:val="center"/>
          </w:tcPr>
          <w:p>
            <w:pPr>
              <w:spacing w:after="0" w:line="259" w:lineRule="auto"/>
            </w:pPr>
            <w:r>
              <w:rPr>
                <w:rFonts w:ascii="Calibri" w:hAnsi="Calibri"/>
                <w:color w:val="1B2638"/>
                <w:sz w:val="16"/>
              </w:rPr>
              <w:t>MVP evidence and audience feedback</w:t>
            </w:r>
          </w:p>
        </w:tc>
      </w:tr>
    </w:tbl>
    <w:p>
      <w:pPr>
        <w:keepLines/>
        <w:spacing w:before="120" w:after="200" w:line="283" w:lineRule="auto"/>
        <w:ind w:left="173" w:right="115"/>
        <w:shd w:fill="E8F0FA" w:val="clear"/>
        <w:widowControl/>
        <w:pBdr>
          <w:left w:val="single" w:sz="28" w:space="8" w:color="2E74B5"/>
        </w:pBdr>
      </w:pPr>
      <w:r>
        <w:rPr>
          <w:rFonts w:ascii="Calibri" w:hAnsi="Calibri"/>
          <w:b/>
          <w:color w:val="2E74B5"/>
          <w:sz w:val="20"/>
        </w:rPr>
        <w:t xml:space="preserve">ESTIMATE  </w:t>
      </w:r>
      <w:r>
        <w:rPr>
          <w:rFonts w:ascii="Calibri" w:hAnsi="Calibri"/>
          <w:color w:val="1B2638"/>
          <w:sz w:val="21"/>
        </w:rPr>
        <w:t>A rehearsable stage MVP is approximately four to six engineering weeks for one engineer already familiar with AgentEval and Avalonia. The full scope including Live resilience, true execution stepping, repeated-run Experiment, hardened artifacts, and cross-platform publishing is approximately seven to ten weeks. Dependency drift and provider integration are contingency items, not assumed zero-cost work.</w:t>
      </w:r>
    </w:p>
    <w:p>
      <w:pPr>
        <w:pStyle w:val="Heading1"/>
        <w:keepNext/>
        <w:widowControl/>
      </w:pPr>
      <w:r>
        <w:t>12. Verification and acceptance</w:t>
      </w:r>
    </w:p>
    <w:p>
      <w:pPr>
        <w:pStyle w:val="Heading2"/>
        <w:keepNext/>
        <w:widowControl/>
      </w:pPr>
      <w:r>
        <w:t>Truth and regression</w:t>
      </w:r>
    </w:p>
    <w:p>
      <w:pPr>
        <w:pStyle w:val="ListBullet"/>
        <w:keepLines/>
        <w:widowControl/>
        <w:spacing w:after="80" w:line="290" w:lineRule="auto"/>
        <w:ind w:left="540" w:hanging="279"/>
      </w:pPr>
      <w:r>
        <w:rPr>
          <w:rFonts w:ascii="Calibri" w:hAnsi="Calibri"/>
          <w:color w:val="1B2638"/>
          <w:sz w:val="22"/>
        </w:rPr>
        <w:t>Retain upstream phase, MCP boundary, manifest/fakery, email-domain, database-limit, Wilson, skipped-run, and vacuous-pass tests.</w:t>
      </w:r>
    </w:p>
    <w:p>
      <w:pPr>
        <w:pStyle w:val="ListBullet"/>
        <w:keepLines/>
        <w:widowControl/>
        <w:spacing w:after="80" w:line="290" w:lineRule="auto"/>
        <w:ind w:left="540" w:hanging="279"/>
      </w:pPr>
      <w:r>
        <w:rPr>
          <w:rFonts w:ascii="Calibri" w:hAnsi="Calibri"/>
          <w:color w:val="1B2638"/>
          <w:sz w:val="22"/>
        </w:rPr>
        <w:t>Failing, slow, or overflowing observability sinks leave PhaseOutcome and tool effects unchanged.</w:t>
      </w:r>
    </w:p>
    <w:p>
      <w:pPr>
        <w:pStyle w:val="ListBullet"/>
        <w:keepLines/>
        <w:widowControl/>
        <w:spacing w:after="80" w:line="290" w:lineRule="auto"/>
        <w:ind w:left="540" w:hanging="279"/>
      </w:pPr>
      <w:r>
        <w:rPr>
          <w:rFonts w:ascii="Calibri" w:hAnsi="Calibri"/>
          <w:color w:val="1B2638"/>
          <w:sz w:val="22"/>
        </w:rPr>
        <w:t>Golden normalized traces or partial-order contracts cover all four scripted phases; reducer state is idempotent and equals replay state.</w:t>
      </w:r>
    </w:p>
    <w:p>
      <w:pPr>
        <w:pStyle w:val="ListBullet"/>
        <w:keepLines/>
        <w:widowControl/>
        <w:spacing w:after="80" w:line="290" w:lineRule="auto"/>
        <w:ind w:left="540" w:hanging="279"/>
      </w:pPr>
      <w:r>
        <w:rPr>
          <w:rFonts w:ascii="Calibri" w:hAnsi="Calibri"/>
          <w:color w:val="1B2638"/>
          <w:sz w:val="22"/>
        </w:rPr>
        <w:t>Phase 4 raw hostile content never appears in model-visible messages or default persisted traces.</w:t>
      </w:r>
    </w:p>
    <w:p>
      <w:pPr>
        <w:pStyle w:val="ListBullet"/>
        <w:keepLines/>
        <w:widowControl/>
        <w:spacing w:after="80" w:line="290" w:lineRule="auto"/>
        <w:ind w:left="540" w:hanging="279"/>
      </w:pPr>
      <w:r>
        <w:rPr>
          <w:rFonts w:ascii="Calibri" w:hAnsi="Calibri"/>
          <w:color w:val="1B2638"/>
          <w:sz w:val="22"/>
        </w:rPr>
        <w:t>Replay with gaps, duplicates, truncation, schema mismatch, or altered hashes is visibly incomplete/unverified and invokes no operations.</w:t>
      </w:r>
    </w:p>
    <w:p>
      <w:pPr>
        <w:pStyle w:val="ListBullet"/>
        <w:keepLines/>
        <w:widowControl/>
        <w:spacing w:after="80" w:line="290" w:lineRule="auto"/>
        <w:ind w:left="540" w:hanging="279"/>
      </w:pPr>
      <w:r>
        <w:rPr>
          <w:rFonts w:ascii="Calibri" w:hAnsi="Calibri"/>
          <w:color w:val="1B2638"/>
          <w:sz w:val="22"/>
        </w:rPr>
        <w:t>Scenario-risk predicates used by the UI are the same core predicates used by PhaseOutcome and RunMetrics; view models do not duplicate them.</w:t>
      </w:r>
    </w:p>
    <w:p>
      <w:pPr>
        <w:pStyle w:val="Heading2"/>
        <w:keepNext/>
        <w:widowControl/>
      </w:pPr>
      <w:r>
        <w:t>Lifecycle and packaging</w:t>
      </w:r>
    </w:p>
    <w:p>
      <w:pPr>
        <w:pStyle w:val="ListBullet"/>
        <w:keepLines/>
        <w:widowControl/>
        <w:spacing w:after="80" w:line="290" w:lineRule="auto"/>
        <w:ind w:left="540" w:hanging="279"/>
      </w:pPr>
      <w:r>
        <w:rPr>
          <w:rFonts w:ascii="Calibri" w:hAnsi="Calibri"/>
          <w:color w:val="1B2638"/>
          <w:sz w:val="22"/>
        </w:rPr>
        <w:t>Cancel during handshake, model request, each tool, containment, cleanup, and every later checkpoint; race Next/Cancel/Reset/close/evil change.</w:t>
      </w:r>
    </w:p>
    <w:p>
      <w:pPr>
        <w:pStyle w:val="ListBullet"/>
        <w:keepLines/>
        <w:widowControl/>
        <w:spacing w:after="80" w:line="290" w:lineRule="auto"/>
        <w:ind w:left="540" w:hanging="279"/>
      </w:pPr>
      <w:r>
        <w:rPr>
          <w:rFonts w:ascii="Calibri" w:hAnsi="Calibri"/>
          <w:color w:val="1B2638"/>
          <w:sz w:val="22"/>
        </w:rPr>
        <w:t>Use unique per-run outbox/temp directories and prove bounded cleanup plus no orphan MCP child.</w:t>
      </w:r>
    </w:p>
    <w:p>
      <w:pPr>
        <w:pStyle w:val="ListBullet"/>
        <w:keepLines/>
        <w:widowControl/>
        <w:spacing w:after="80" w:line="290" w:lineRule="auto"/>
        <w:ind w:left="540" w:hanging="279"/>
      </w:pPr>
      <w:r>
        <w:rPr>
          <w:rFonts w:ascii="Calibri" w:hAnsi="Calibri"/>
          <w:color w:val="1B2638"/>
          <w:sz w:val="22"/>
        </w:rPr>
        <w:t>Published sidecar smoke covers clean/compromised restart, manifest/data discovery, cancellation, and reset on every supported package target.</w:t>
      </w:r>
    </w:p>
    <w:p>
      <w:pPr>
        <w:pStyle w:val="ListBullet"/>
        <w:keepLines/>
        <w:widowControl/>
        <w:spacing w:after="80" w:line="290" w:lineRule="auto"/>
        <w:ind w:left="540" w:hanging="279"/>
      </w:pPr>
      <w:r>
        <w:rPr>
          <w:rFonts w:ascii="Calibri" w:hAnsi="Calibri"/>
          <w:color w:val="1B2638"/>
          <w:sz w:val="22"/>
        </w:rPr>
        <w:t>Canary and fuzz tests cover redaction, malformed JSONL, payload limits, clipboard/export consent, and safe failure envelopes.</w:t>
      </w:r>
    </w:p>
    <w:p>
      <w:pPr>
        <w:pStyle w:val="Heading2"/>
        <w:keepNext/>
        <w:widowControl/>
      </w:pPr>
      <w:r>
        <w:t>Audience and accessibility acceptance</w:t>
      </w:r>
    </w:p>
    <w:p>
      <w:pPr>
        <w:pStyle w:val="ListBullet"/>
        <w:keepLines/>
        <w:widowControl/>
        <w:spacing w:after="80" w:line="290" w:lineRule="auto"/>
        <w:ind w:left="540" w:hanging="279"/>
      </w:pPr>
      <w:r>
        <w:rPr>
          <w:rFonts w:ascii="Calibri" w:hAnsi="Calibri"/>
          <w:color w:val="1B2638"/>
          <w:sz w:val="22"/>
        </w:rPr>
        <w:t>At least 80% of rehearsal observers can state what moved, whether it executed, and why it stopped within ten seconds of a decisive scene.</w:t>
      </w:r>
    </w:p>
    <w:p>
      <w:pPr>
        <w:pStyle w:val="ListBullet"/>
        <w:keepLines/>
        <w:widowControl/>
        <w:spacing w:after="80" w:line="290" w:lineRule="auto"/>
        <w:ind w:left="540" w:hanging="279"/>
      </w:pPr>
      <w:r>
        <w:rPr>
          <w:rFonts w:ascii="Calibri" w:hAnsi="Calibri"/>
          <w:color w:val="1B2638"/>
          <w:sz w:val="22"/>
        </w:rPr>
        <w:t>Keyboard-only presenter flow has visible focus; timeline updates do not steal focus; all graph states have a textual equivalent.</w:t>
      </w:r>
    </w:p>
    <w:p>
      <w:pPr>
        <w:pStyle w:val="ListBullet"/>
        <w:keepLines/>
        <w:widowControl/>
        <w:spacing w:after="80" w:line="290" w:lineRule="auto"/>
        <w:ind w:left="540" w:hanging="279"/>
      </w:pPr>
      <w:r>
        <w:rPr>
          <w:rFonts w:ascii="Calibri" w:hAnsi="Calibri"/>
          <w:color w:val="1B2638"/>
          <w:sz w:val="22"/>
        </w:rPr>
        <w:t>High contrast, reduced motion, 125%/150% scaling, and projector layouts pass at 1280x720, 1280x800, and 1920x1080 without clipping.</w:t>
      </w:r>
    </w:p>
    <w:p>
      <w:pPr>
        <w:pStyle w:val="ListBullet"/>
        <w:keepLines/>
        <w:widowControl/>
        <w:spacing w:after="80" w:line="290" w:lineRule="auto"/>
        <w:ind w:left="540" w:hanging="279"/>
      </w:pPr>
      <w:r>
        <w:rPr>
          <w:rFonts w:ascii="Calibri" w:hAnsi="Calibri"/>
          <w:color w:val="1B2638"/>
          <w:sz w:val="22"/>
        </w:rPr>
        <w:t>The UI and headless evaluator produce identical canonical metrics, findings, effects, containment, and oracle results.</w:t>
      </w:r>
    </w:p>
    <w:p>
      <w:pPr>
        <w:widowControl/>
      </w:pPr>
      <w:r>
        <w:br w:type="page"/>
      </w:r>
    </w:p>
    <w:p>
      <w:pPr>
        <w:pStyle w:val="Heading1"/>
        <w:keepNext/>
        <w:widowControl/>
      </w:pPr>
      <w:r>
        <w:t>13. Top risks and guardrails</w:t>
      </w:r>
    </w:p>
    <w:tbl>
      <w:tblPr>
        <w:tblStyle w:val="TableGrid"/>
        <w:tblW w:type="dxa" w:w="9360"/>
        <w:jc w:val="left"/>
        <w:tblLayout w:type="fixed"/>
        <w:tblLook w:firstColumn="1" w:firstRow="1" w:lastColumn="0" w:lastRow="0" w:noHBand="0" w:noVBand="1" w:val="04A0"/>
        <w:tblInd w:w="120" w:type="dxa"/>
        <w:tblBorders>
          <w:top w:val="single" w:sz="6" w:space="0" w:color="D8DEE7"/>
          <w:left w:val="single" w:sz="6" w:space="0" w:color="D8DEE7"/>
          <w:bottom w:val="single" w:sz="6" w:space="0" w:color="D8DEE7"/>
          <w:right w:val="single" w:sz="6" w:space="0" w:color="D8DEE7"/>
          <w:insideH w:val="single" w:sz="6" w:space="0" w:color="D8DEE7"/>
          <w:insideV w:val="single" w:sz="6" w:space="0" w:color="D8DEE7"/>
        </w:tblBorders>
      </w:tblPr>
      <w:tblGrid>
        <w:gridCol w:w="3300"/>
        <w:gridCol w:w="6060"/>
      </w:tblGrid>
      <w:tr>
        <w:trPr>
          <w:tblHeader w:val="true"/>
          <w:cantSplit w:val="true"/>
        </w:trPr>
        <w:tc>
          <w:tcPr>
            <w:tcW w:type="dxa" w:w="3300"/>
            <w:shd w:fill="E8F0FA" w:val="clear"/>
            <w:tcMar>
              <w:top w:w="85" w:type="dxa"/>
              <w:start w:w="120" w:type="dxa"/>
              <w:bottom w:w="85" w:type="dxa"/>
              <w:end w:w="120" w:type="dxa"/>
            </w:tcMar>
            <w:vAlign w:val="center"/>
          </w:tcPr>
          <w:p>
            <w:pPr>
              <w:spacing w:after="0"/>
            </w:pPr>
            <w:r>
              <w:rPr>
                <w:rFonts w:ascii="Calibri" w:hAnsi="Calibri"/>
                <w:b/>
                <w:color w:val="17365D"/>
                <w:sz w:val="19"/>
              </w:rPr>
              <w:t>Risk</w:t>
            </w:r>
          </w:p>
        </w:tc>
        <w:tc>
          <w:tcPr>
            <w:tcW w:type="dxa" w:w="6060"/>
            <w:shd w:fill="E8F0FA" w:val="clear"/>
            <w:tcMar>
              <w:top w:w="85" w:type="dxa"/>
              <w:start w:w="120" w:type="dxa"/>
              <w:bottom w:w="85" w:type="dxa"/>
              <w:end w:w="120" w:type="dxa"/>
            </w:tcMar>
            <w:vAlign w:val="center"/>
          </w:tcPr>
          <w:p>
            <w:pPr>
              <w:spacing w:after="0"/>
            </w:pPr>
            <w:r>
              <w:rPr>
                <w:rFonts w:ascii="Calibri" w:hAnsi="Calibri"/>
                <w:b/>
                <w:color w:val="17365D"/>
                <w:sz w:val="19"/>
              </w:rPr>
              <w:t>Guardrail</w:t>
            </w:r>
          </w:p>
        </w:tc>
      </w:tr>
      <w:tr>
        <w:trPr>
          <w:cantSplit w:val="true"/>
        </w:trPr>
        <w:tc>
          <w:tcPr>
            <w:tcW w:type="dxa" w:w="3300"/>
            <w:tcMar>
              <w:top w:w="85" w:type="dxa"/>
              <w:start w:w="120" w:type="dxa"/>
              <w:bottom w:w="85" w:type="dxa"/>
              <w:end w:w="120" w:type="dxa"/>
            </w:tcMar>
            <w:vAlign w:val="center"/>
          </w:tcPr>
          <w:p>
            <w:pPr>
              <w:spacing w:after="0" w:line="259" w:lineRule="auto"/>
            </w:pPr>
            <w:r>
              <w:rPr>
                <w:rFonts w:ascii="Calibri" w:hAnsi="Calibri"/>
                <w:color w:val="1B2638"/>
                <w:sz w:val="17"/>
              </w:rPr>
              <w:t>Presentation becomes the evidence</w:t>
            </w:r>
          </w:p>
        </w:tc>
        <w:tc>
          <w:tcPr>
            <w:tcW w:type="dxa" w:w="6060"/>
            <w:tcMar>
              <w:top w:w="85" w:type="dxa"/>
              <w:start w:w="120" w:type="dxa"/>
              <w:bottom w:w="85" w:type="dxa"/>
              <w:end w:w="120" w:type="dxa"/>
            </w:tcMar>
            <w:vAlign w:val="center"/>
          </w:tcPr>
          <w:p>
            <w:pPr>
              <w:spacing w:after="0" w:line="259" w:lineRule="auto"/>
            </w:pPr>
            <w:r>
              <w:rPr>
                <w:rFonts w:ascii="Calibri" w:hAnsi="Calibri"/>
                <w:color w:val="1B2638"/>
                <w:sz w:val="17"/>
              </w:rPr>
              <w:t>Keep canonical journals/outcomes independent; test live/replay/UI agreement; label projection gaps.</w:t>
            </w:r>
          </w:p>
        </w:tc>
      </w:tr>
      <w:tr>
        <w:trPr>
          <w:cantSplit w:val="true"/>
        </w:trPr>
        <w:tc>
          <w:tcPr>
            <w:tcW w:type="dxa" w:w="3300"/>
            <w:tcMar>
              <w:top w:w="85" w:type="dxa"/>
              <w:start w:w="120" w:type="dxa"/>
              <w:bottom w:w="85" w:type="dxa"/>
              <w:end w:w="120" w:type="dxa"/>
            </w:tcMar>
            <w:vAlign w:val="center"/>
          </w:tcPr>
          <w:p>
            <w:pPr>
              <w:spacing w:after="0" w:line="259" w:lineRule="auto"/>
            </w:pPr>
            <w:r>
              <w:rPr>
                <w:rFonts w:ascii="Calibri" w:hAnsi="Calibri"/>
                <w:color w:val="1B2638"/>
                <w:sz w:val="17"/>
              </w:rPr>
              <w:t>Pacing misrepresents when harm occurred</w:t>
            </w:r>
          </w:p>
        </w:tc>
        <w:tc>
          <w:tcPr>
            <w:tcW w:type="dxa" w:w="6060"/>
            <w:tcMar>
              <w:top w:w="85" w:type="dxa"/>
              <w:start w:w="120" w:type="dxa"/>
              <w:bottom w:w="85" w:type="dxa"/>
              <w:end w:w="120" w:type="dxa"/>
            </w:tcMar>
            <w:vAlign w:val="center"/>
          </w:tcPr>
          <w:p>
            <w:pPr>
              <w:spacing w:after="0" w:line="259" w:lineRule="auto"/>
            </w:pPr>
            <w:r>
              <w:rPr>
                <w:rFonts w:ascii="Calibri" w:hAnsi="Calibri"/>
                <w:color w:val="1B2638"/>
                <w:sz w:val="17"/>
              </w:rPr>
              <w:t>Separate execution and playback clocks; label paused playback and backlog; use pure replay for presenter stepping.</w:t>
            </w:r>
          </w:p>
        </w:tc>
      </w:tr>
      <w:tr>
        <w:trPr>
          <w:cantSplit w:val="true"/>
        </w:trPr>
        <w:tc>
          <w:tcPr>
            <w:tcW w:type="dxa" w:w="3300"/>
            <w:tcMar>
              <w:top w:w="85" w:type="dxa"/>
              <w:start w:w="120" w:type="dxa"/>
              <w:bottom w:w="85" w:type="dxa"/>
              <w:end w:w="120" w:type="dxa"/>
            </w:tcMar>
            <w:vAlign w:val="center"/>
          </w:tcPr>
          <w:p>
            <w:pPr>
              <w:spacing w:after="0" w:line="259" w:lineRule="auto"/>
            </w:pPr>
            <w:r>
              <w:rPr>
                <w:rFonts w:ascii="Calibri" w:hAnsi="Calibri"/>
                <w:color w:val="1B2638"/>
                <w:sz w:val="17"/>
              </w:rPr>
              <w:t>Controls create incoherent security states</w:t>
            </w:r>
          </w:p>
        </w:tc>
        <w:tc>
          <w:tcPr>
            <w:tcW w:type="dxa" w:w="6060"/>
            <w:tcMar>
              <w:top w:w="85" w:type="dxa"/>
              <w:start w:w="120" w:type="dxa"/>
              <w:bottom w:w="85" w:type="dxa"/>
              <w:end w:w="120" w:type="dxa"/>
            </w:tcMar>
            <w:vAlign w:val="center"/>
          </w:tcPr>
          <w:p>
            <w:pPr>
              <w:spacing w:after="0" w:line="259" w:lineRule="auto"/>
            </w:pPr>
            <w:r>
              <w:rPr>
                <w:rFonts w:ascii="Calibri" w:hAnsi="Calibri"/>
                <w:color w:val="1B2638"/>
                <w:sz w:val="17"/>
              </w:rPr>
              <w:t>Use normalized GateConfiguration, explicit dependencies, one Gatekeeper composition point, and no canonical PASS in Custom Lab.</w:t>
            </w:r>
          </w:p>
        </w:tc>
      </w:tr>
      <w:tr>
        <w:trPr>
          <w:cantSplit w:val="true"/>
        </w:trPr>
        <w:tc>
          <w:tcPr>
            <w:tcW w:type="dxa" w:w="3300"/>
            <w:tcMar>
              <w:top w:w="85" w:type="dxa"/>
              <w:start w:w="120" w:type="dxa"/>
              <w:bottom w:w="85" w:type="dxa"/>
              <w:end w:w="120" w:type="dxa"/>
            </w:tcMar>
            <w:vAlign w:val="center"/>
          </w:tcPr>
          <w:p>
            <w:pPr>
              <w:spacing w:after="0" w:line="259" w:lineRule="auto"/>
            </w:pPr>
            <w:r>
              <w:rPr>
                <w:rFonts w:ascii="Calibri" w:hAnsi="Calibri"/>
                <w:color w:val="1B2638"/>
                <w:sz w:val="17"/>
              </w:rPr>
              <w:t>Hostile or provider data leaks through traces</w:t>
            </w:r>
          </w:p>
        </w:tc>
        <w:tc>
          <w:tcPr>
            <w:tcW w:type="dxa" w:w="6060"/>
            <w:tcMar>
              <w:top w:w="85" w:type="dxa"/>
              <w:start w:w="120" w:type="dxa"/>
              <w:bottom w:w="85" w:type="dxa"/>
              <w:end w:w="120" w:type="dxa"/>
            </w:tcMar>
            <w:vAlign w:val="center"/>
          </w:tcPr>
          <w:p>
            <w:pPr>
              <w:spacing w:after="0" w:line="259" w:lineRule="auto"/>
            </w:pPr>
            <w:r>
              <w:rPr>
                <w:rFonts w:ascii="Calibri" w:hAnsi="Calibri"/>
                <w:color w:val="1B2638"/>
                <w:sz w:val="17"/>
              </w:rPr>
              <w:t>Bounded/redacted artifacts, sensitivity labels, explicit export consent, ephemeral raw view, canary/fuzz tests.</w:t>
            </w:r>
          </w:p>
        </w:tc>
      </w:tr>
      <w:tr>
        <w:trPr>
          <w:cantSplit w:val="true"/>
        </w:trPr>
        <w:tc>
          <w:tcPr>
            <w:tcW w:type="dxa" w:w="3300"/>
            <w:tcMar>
              <w:top w:w="85" w:type="dxa"/>
              <w:start w:w="120" w:type="dxa"/>
              <w:bottom w:w="85" w:type="dxa"/>
              <w:end w:w="120" w:type="dxa"/>
            </w:tcMar>
            <w:vAlign w:val="center"/>
          </w:tcPr>
          <w:p>
            <w:pPr>
              <w:spacing w:after="0" w:line="259" w:lineRule="auto"/>
            </w:pPr>
            <w:r>
              <w:rPr>
                <w:rFonts w:ascii="Calibri" w:hAnsi="Calibri"/>
                <w:color w:val="1B2638"/>
                <w:sz w:val="17"/>
              </w:rPr>
              <w:t>MCP child or effects outlive the UI</w:t>
            </w:r>
          </w:p>
        </w:tc>
        <w:tc>
          <w:tcPr>
            <w:tcW w:type="dxa" w:w="6060"/>
            <w:tcMar>
              <w:top w:w="85" w:type="dxa"/>
              <w:start w:w="120" w:type="dxa"/>
              <w:bottom w:w="85" w:type="dxa"/>
              <w:end w:w="120" w:type="dxa"/>
            </w:tcMar>
            <w:vAlign w:val="center"/>
          </w:tcPr>
          <w:p>
            <w:pPr>
              <w:spacing w:after="0" w:line="259" w:lineRule="auto"/>
            </w:pPr>
            <w:r>
              <w:rPr>
                <w:rFonts w:ascii="Calibri" w:hAnsi="Calibri"/>
                <w:color w:val="1B2638"/>
                <w:sz w:val="17"/>
              </w:rPr>
              <w:t>Single lifecycle owner, unique per-run paths, bounded async reset, cancellation races, publish-level orphan checks.</w:t>
            </w:r>
          </w:p>
        </w:tc>
      </w:tr>
      <w:tr>
        <w:trPr>
          <w:cantSplit w:val="true"/>
        </w:trPr>
        <w:tc>
          <w:tcPr>
            <w:tcW w:type="dxa" w:w="3300"/>
            <w:tcMar>
              <w:top w:w="85" w:type="dxa"/>
              <w:start w:w="120" w:type="dxa"/>
              <w:bottom w:w="85" w:type="dxa"/>
              <w:end w:w="120" w:type="dxa"/>
            </w:tcMar>
            <w:vAlign w:val="center"/>
          </w:tcPr>
          <w:p>
            <w:pPr>
              <w:spacing w:after="0" w:line="259" w:lineRule="auto"/>
            </w:pPr>
            <w:r>
              <w:rPr>
                <w:rFonts w:ascii="Calibri" w:hAnsi="Calibri"/>
                <w:color w:val="1B2638"/>
                <w:sz w:val="17"/>
              </w:rPr>
              <w:t>Stage scope expands into a generic platform</w:t>
            </w:r>
          </w:p>
        </w:tc>
        <w:tc>
          <w:tcPr>
            <w:tcW w:type="dxa" w:w="6060"/>
            <w:tcMar>
              <w:top w:w="85" w:type="dxa"/>
              <w:start w:w="120" w:type="dxa"/>
              <w:bottom w:w="85" w:type="dxa"/>
              <w:end w:w="120" w:type="dxa"/>
            </w:tcMar>
            <w:vAlign w:val="center"/>
          </w:tcPr>
          <w:p>
            <w:pPr>
              <w:spacing w:after="0" w:line="259" w:lineRule="auto"/>
            </w:pPr>
            <w:r>
              <w:rPr>
                <w:rFonts w:ascii="Calibri" w:hAnsi="Calibri"/>
                <w:color w:val="1B2638"/>
                <w:sz w:val="17"/>
              </w:rPr>
              <w:t>Keep one static scenario topology, Windows-first package, scripted story, and a signed MVP/Phase 2 boundary.</w:t>
            </w:r>
          </w:p>
        </w:tc>
      </w:tr>
    </w:tbl>
    <w:p>
      <w:pPr>
        <w:keepLines/>
        <w:spacing w:before="120" w:after="200" w:line="283" w:lineRule="auto"/>
        <w:ind w:left="173" w:right="115"/>
        <w:shd w:fill="E7F6ED" w:val="clear"/>
        <w:widowControl/>
        <w:pBdr>
          <w:left w:val="single" w:sz="28" w:space="8" w:color="167245"/>
        </w:pBdr>
      </w:pPr>
      <w:r>
        <w:rPr>
          <w:rFonts w:ascii="Calibri" w:hAnsi="Calibri"/>
          <w:b/>
          <w:color w:val="167245"/>
          <w:sz w:val="20"/>
        </w:rPr>
        <w:t xml:space="preserve">IMPLEMENTATION APPROVAL  </w:t>
      </w:r>
      <w:r>
        <w:rPr>
          <w:rFonts w:ascii="Calibri" w:hAnsi="Calibri"/>
          <w:color w:val="1B2638"/>
          <w:sz w:val="21"/>
        </w:rPr>
        <w:t>Proceed with Slice 0 and Slice 1 together. They create the trustworthy seam for every later UX decision. Begin the visible graph only after the baseline and replay artifact agree with canonical outcomes.</w:t>
      </w:r>
    </w:p>
    <w:p>
      <w:pPr>
        <w:widowControl/>
      </w:pPr>
      <w:r>
        <w:br w:type="page"/>
      </w:r>
    </w:p>
    <w:p>
      <w:pPr>
        <w:pStyle w:val="Heading1"/>
        <w:keepNext/>
        <w:widowControl/>
      </w:pPr>
      <w:r>
        <w:t>Appendix A. Source basis</w:t>
      </w:r>
    </w:p>
    <w:p>
      <w:pPr>
        <w:widowControl/>
        <w:spacing w:after="80"/>
      </w:pPr>
      <w:r>
        <w:rPr>
          <w:rFonts w:ascii="Calibri" w:hAnsi="Calibri"/>
          <w:b/>
          <w:color w:val="17365D"/>
          <w:sz w:val="20"/>
        </w:rPr>
        <w:t xml:space="preserve">S1  </w:t>
      </w:r>
      <w:hyperlink r:id="rId13">
        <w:r>
          <w:rPr>
            <w:color w:val="2E74B5"/>
            <w:u w:val="single"/>
          </w:rPr>
          <w:t>PartnerDesk README and four-phase contract</w:t>
        </w:r>
      </w:hyperlink>
    </w:p>
    <w:p>
      <w:pPr>
        <w:widowControl/>
        <w:spacing w:after="80"/>
      </w:pPr>
      <w:r>
        <w:rPr>
          <w:rFonts w:ascii="Calibri" w:hAnsi="Calibri"/>
          <w:b/>
          <w:color w:val="17365D"/>
          <w:sz w:val="20"/>
        </w:rPr>
        <w:t xml:space="preserve">S2  </w:t>
      </w:r>
      <w:hyperlink r:id="rId11">
        <w:r>
          <w:rPr>
            <w:color w:val="2E74B5"/>
            <w:u w:val="single"/>
          </w:rPr>
          <w:t>PartnerDesk demo source tree</w:t>
        </w:r>
      </w:hyperlink>
    </w:p>
    <w:p>
      <w:pPr>
        <w:widowControl/>
        <w:spacing w:after="80"/>
      </w:pPr>
      <w:r>
        <w:rPr>
          <w:rFonts w:ascii="Calibri" w:hAnsi="Calibri"/>
          <w:b/>
          <w:color w:val="17365D"/>
          <w:sz w:val="20"/>
        </w:rPr>
        <w:t xml:space="preserve">S3  </w:t>
      </w:r>
      <w:hyperlink r:id="rId14">
        <w:r>
          <w:rPr>
            <w:color w:val="2E74B5"/>
            <w:u w:val="single"/>
          </w:rPr>
          <w:t>PartnerDesk stochastic evaluation sibling</w:t>
        </w:r>
      </w:hyperlink>
    </w:p>
    <w:p>
      <w:pPr>
        <w:widowControl/>
        <w:spacing w:after="80"/>
      </w:pPr>
      <w:r>
        <w:rPr>
          <w:rFonts w:ascii="Calibri" w:hAnsi="Calibri"/>
          <w:b/>
          <w:color w:val="17365D"/>
          <w:sz w:val="20"/>
        </w:rPr>
        <w:t xml:space="preserve">S4  </w:t>
      </w:r>
      <w:hyperlink r:id="rId15">
        <w:r>
          <w:rPr>
            <w:color w:val="2E74B5"/>
            <w:u w:val="single"/>
          </w:rPr>
          <w:t>PartnerDesk deterministic tests</w:t>
        </w:r>
      </w:hyperlink>
    </w:p>
    <w:p>
      <w:pPr>
        <w:widowControl/>
        <w:spacing w:after="80"/>
      </w:pPr>
      <w:r>
        <w:rPr>
          <w:rFonts w:ascii="Calibri" w:hAnsi="Calibri"/>
          <w:b/>
          <w:color w:val="17365D"/>
          <w:sz w:val="20"/>
        </w:rPr>
        <w:t xml:space="preserve">S5  </w:t>
      </w:r>
      <w:hyperlink r:id="rId16">
        <w:r>
          <w:rPr>
            <w:color w:val="2E74B5"/>
            <w:u w:val="single"/>
          </w:rPr>
          <w:t>AgentEval dependency pins</w:t>
        </w:r>
      </w:hyperlink>
    </w:p>
    <w:p>
      <w:pPr>
        <w:widowControl/>
        <w:spacing w:after="80"/>
      </w:pPr>
      <w:r>
        <w:rPr>
          <w:rFonts w:ascii="Calibri" w:hAnsi="Calibri"/>
          <w:b/>
          <w:color w:val="17365D"/>
          <w:sz w:val="20"/>
        </w:rPr>
        <w:t xml:space="preserve">S6  </w:t>
      </w:r>
      <w:hyperlink r:id="rId17">
        <w:r>
          <w:rPr>
            <w:color w:val="2E74B5"/>
            <w:u w:val="single"/>
          </w:rPr>
          <w:t>AgentEval MIT license</w:t>
        </w:r>
      </w:hyperlink>
    </w:p>
    <w:p>
      <w:pPr>
        <w:pStyle w:val="Heading2"/>
        <w:keepNext/>
        <w:widowControl/>
      </w:pPr>
      <w:r>
        <w:t>Composer patterns inspected</w:t>
      </w:r>
    </w:p>
    <w:p>
      <w:pPr>
        <w:widowControl/>
      </w:pPr>
      <w:r>
        <w:rPr>
          <w:rFonts w:ascii="Calibri" w:hAnsi="Calibri"/>
          <w:color w:val="1B2638"/>
          <w:sz w:val="22"/>
        </w:rPr>
        <w:t>Reference repository: MAFARticleComposer. Reuse presentation patterns only; do not import its article/workflow domain or reflection stack.</w:t>
      </w:r>
    </w:p>
    <w:tbl>
      <w:tblPr>
        <w:tblStyle w:val="TableGrid"/>
        <w:tblW w:type="dxa" w:w="9360"/>
        <w:jc w:val="left"/>
        <w:tblLayout w:type="fixed"/>
        <w:tblLook w:firstColumn="1" w:firstRow="1" w:lastColumn="0" w:lastRow="0" w:noHBand="0" w:noVBand="1" w:val="04A0"/>
        <w:tblInd w:w="120" w:type="dxa"/>
        <w:tblBorders>
          <w:top w:val="single" w:sz="6" w:space="0" w:color="D8DEE7"/>
          <w:left w:val="single" w:sz="6" w:space="0" w:color="D8DEE7"/>
          <w:bottom w:val="single" w:sz="6" w:space="0" w:color="D8DEE7"/>
          <w:right w:val="single" w:sz="6" w:space="0" w:color="D8DEE7"/>
          <w:insideH w:val="single" w:sz="6" w:space="0" w:color="D8DEE7"/>
          <w:insideV w:val="single" w:sz="6" w:space="0" w:color="D8DEE7"/>
        </w:tblBorders>
      </w:tblPr>
      <w:tblGrid>
        <w:gridCol w:w="5600"/>
        <w:gridCol w:w="3760"/>
      </w:tblGrid>
      <w:tr>
        <w:trPr>
          <w:tblHeader w:val="true"/>
          <w:cantSplit w:val="true"/>
        </w:trPr>
        <w:tc>
          <w:tcPr>
            <w:tcW w:type="dxa" w:w="5600"/>
            <w:shd w:fill="E8F0FA" w:val="clear"/>
            <w:tcMar>
              <w:top w:w="85" w:type="dxa"/>
              <w:start w:w="120" w:type="dxa"/>
              <w:bottom w:w="85" w:type="dxa"/>
              <w:end w:w="120" w:type="dxa"/>
            </w:tcMar>
            <w:vAlign w:val="center"/>
          </w:tcPr>
          <w:p>
            <w:pPr>
              <w:spacing w:after="0"/>
            </w:pPr>
            <w:r>
              <w:rPr>
                <w:rFonts w:ascii="Calibri" w:hAnsi="Calibri"/>
                <w:b/>
                <w:color w:val="17365D"/>
                <w:sz w:val="19"/>
              </w:rPr>
              <w:t>Relative path</w:t>
            </w:r>
          </w:p>
        </w:tc>
        <w:tc>
          <w:tcPr>
            <w:tcW w:type="dxa" w:w="3760"/>
            <w:shd w:fill="E8F0FA" w:val="clear"/>
            <w:tcMar>
              <w:top w:w="85" w:type="dxa"/>
              <w:start w:w="120" w:type="dxa"/>
              <w:bottom w:w="85" w:type="dxa"/>
              <w:end w:w="120" w:type="dxa"/>
            </w:tcMar>
            <w:vAlign w:val="center"/>
          </w:tcPr>
          <w:p>
            <w:pPr>
              <w:spacing w:after="0"/>
            </w:pPr>
            <w:r>
              <w:rPr>
                <w:rFonts w:ascii="Calibri" w:hAnsi="Calibri"/>
                <w:b/>
                <w:color w:val="17365D"/>
                <w:sz w:val="19"/>
              </w:rPr>
              <w:t>Pattern reused</w:t>
            </w:r>
          </w:p>
        </w:tc>
      </w:tr>
      <w:tr>
        <w:trPr>
          <w:cantSplit w:val="true"/>
        </w:trPr>
        <w:tc>
          <w:tcPr>
            <w:tcW w:type="dxa" w:w="5600"/>
            <w:tcMar>
              <w:top w:w="85" w:type="dxa"/>
              <w:start w:w="120" w:type="dxa"/>
              <w:bottom w:w="85" w:type="dxa"/>
              <w:end w:w="120" w:type="dxa"/>
            </w:tcMar>
            <w:vAlign w:val="center"/>
          </w:tcPr>
          <w:p>
            <w:pPr>
              <w:spacing w:after="0" w:line="259" w:lineRule="auto"/>
            </w:pPr>
            <w:r>
              <w:rPr>
                <w:rFonts w:ascii="Calibri" w:hAnsi="Calibri"/>
                <w:color w:val="1B2638"/>
                <w:sz w:val="17"/>
              </w:rPr>
              <w:t>src/BlogWriter.UI/Views/MainWindow.axaml</w:t>
            </w:r>
          </w:p>
        </w:tc>
        <w:tc>
          <w:tcPr>
            <w:tcW w:type="dxa" w:w="3760"/>
            <w:tcMar>
              <w:top w:w="85" w:type="dxa"/>
              <w:start w:w="120" w:type="dxa"/>
              <w:bottom w:w="85" w:type="dxa"/>
              <w:end w:w="120" w:type="dxa"/>
            </w:tcMar>
            <w:vAlign w:val="center"/>
          </w:tcPr>
          <w:p>
            <w:pPr>
              <w:spacing w:after="0" w:line="259" w:lineRule="auto"/>
            </w:pPr>
            <w:r>
              <w:rPr>
                <w:rFonts w:ascii="Calibri" w:hAnsi="Calibri"/>
                <w:color w:val="1B2638"/>
                <w:sz w:val="17"/>
              </w:rPr>
              <w:t>Resizable graph/log split and auto-follow interaction.</w:t>
            </w:r>
          </w:p>
        </w:tc>
      </w:tr>
      <w:tr>
        <w:trPr>
          <w:cantSplit w:val="true"/>
        </w:trPr>
        <w:tc>
          <w:tcPr>
            <w:tcW w:type="dxa" w:w="5600"/>
            <w:tcMar>
              <w:top w:w="85" w:type="dxa"/>
              <w:start w:w="120" w:type="dxa"/>
              <w:bottom w:w="85" w:type="dxa"/>
              <w:end w:w="120" w:type="dxa"/>
            </w:tcMar>
            <w:vAlign w:val="center"/>
          </w:tcPr>
          <w:p>
            <w:pPr>
              <w:spacing w:after="0" w:line="259" w:lineRule="auto"/>
            </w:pPr>
            <w:r>
              <w:rPr>
                <w:rFonts w:ascii="Calibri" w:hAnsi="Calibri"/>
                <w:color w:val="1B2638"/>
                <w:sz w:val="17"/>
              </w:rPr>
              <w:t>src/BlogWriter.UI/Views/WorkflowGraphControl.axaml</w:t>
            </w:r>
          </w:p>
        </w:tc>
        <w:tc>
          <w:tcPr>
            <w:tcW w:type="dxa" w:w="3760"/>
            <w:tcMar>
              <w:top w:w="85" w:type="dxa"/>
              <w:start w:w="120" w:type="dxa"/>
              <w:bottom w:w="85" w:type="dxa"/>
              <w:end w:w="120" w:type="dxa"/>
            </w:tcMar>
            <w:vAlign w:val="center"/>
          </w:tcPr>
          <w:p>
            <w:pPr>
              <w:spacing w:after="0" w:line="259" w:lineRule="auto"/>
            </w:pPr>
            <w:r>
              <w:rPr>
                <w:rFonts w:ascii="Calibri" w:hAnsi="Calibri"/>
                <w:color w:val="1B2638"/>
                <w:sz w:val="17"/>
              </w:rPr>
              <w:t>Canvas routes, stable nodes, and active/traversed states.</w:t>
            </w:r>
          </w:p>
        </w:tc>
      </w:tr>
      <w:tr>
        <w:trPr>
          <w:cantSplit w:val="true"/>
        </w:trPr>
        <w:tc>
          <w:tcPr>
            <w:tcW w:type="dxa" w:w="5600"/>
            <w:tcMar>
              <w:top w:w="85" w:type="dxa"/>
              <w:start w:w="120" w:type="dxa"/>
              <w:bottom w:w="85" w:type="dxa"/>
              <w:end w:w="120" w:type="dxa"/>
            </w:tcMar>
            <w:vAlign w:val="center"/>
          </w:tcPr>
          <w:p>
            <w:pPr>
              <w:spacing w:after="0" w:line="259" w:lineRule="auto"/>
            </w:pPr>
            <w:r>
              <w:rPr>
                <w:rFonts w:ascii="Calibri" w:hAnsi="Calibri"/>
                <w:color w:val="1B2638"/>
                <w:sz w:val="17"/>
              </w:rPr>
              <w:t>src/BlogWriter.UI/ViewModels/WorkflowGraphViewModel.cs</w:t>
            </w:r>
          </w:p>
        </w:tc>
        <w:tc>
          <w:tcPr>
            <w:tcW w:type="dxa" w:w="3760"/>
            <w:tcMar>
              <w:top w:w="85" w:type="dxa"/>
              <w:start w:w="120" w:type="dxa"/>
              <w:bottom w:w="85" w:type="dxa"/>
              <w:end w:w="120" w:type="dxa"/>
            </w:tcMar>
            <w:vAlign w:val="center"/>
          </w:tcPr>
          <w:p>
            <w:pPr>
              <w:spacing w:after="0" w:line="259" w:lineRule="auto"/>
            </w:pPr>
            <w:r>
              <w:rPr>
                <w:rFonts w:ascii="Calibri" w:hAnsi="Calibri"/>
                <w:color w:val="1B2638"/>
                <w:sz w:val="17"/>
              </w:rPr>
              <w:t>Idempotent event reduction and stable IDs.</w:t>
            </w:r>
          </w:p>
        </w:tc>
      </w:tr>
      <w:tr>
        <w:trPr>
          <w:cantSplit w:val="true"/>
        </w:trPr>
        <w:tc>
          <w:tcPr>
            <w:tcW w:type="dxa" w:w="5600"/>
            <w:tcMar>
              <w:top w:w="85" w:type="dxa"/>
              <w:start w:w="120" w:type="dxa"/>
              <w:bottom w:w="85" w:type="dxa"/>
              <w:end w:w="120" w:type="dxa"/>
            </w:tcMar>
            <w:vAlign w:val="center"/>
          </w:tcPr>
          <w:p>
            <w:pPr>
              <w:spacing w:after="0" w:line="259" w:lineRule="auto"/>
            </w:pPr>
            <w:r>
              <w:rPr>
                <w:rFonts w:ascii="Calibri" w:hAnsi="Calibri"/>
                <w:color w:val="1B2638"/>
                <w:sz w:val="17"/>
              </w:rPr>
              <w:t>src/BlogWriter.UI/ViewModels/ActivityItemViewModels.cs</w:t>
            </w:r>
          </w:p>
        </w:tc>
        <w:tc>
          <w:tcPr>
            <w:tcW w:type="dxa" w:w="3760"/>
            <w:tcMar>
              <w:top w:w="85" w:type="dxa"/>
              <w:start w:w="120" w:type="dxa"/>
              <w:bottom w:w="85" w:type="dxa"/>
              <w:end w:w="120" w:type="dxa"/>
            </w:tcMar>
            <w:vAlign w:val="center"/>
          </w:tcPr>
          <w:p>
            <w:pPr>
              <w:spacing w:after="0" w:line="259" w:lineRule="auto"/>
            </w:pPr>
            <w:r>
              <w:rPr>
                <w:rFonts w:ascii="Calibri" w:hAnsi="Calibri"/>
                <w:color w:val="1B2638"/>
                <w:sz w:val="17"/>
              </w:rPr>
              <w:t>Structured event cards and safe diagnostics.</w:t>
            </w:r>
          </w:p>
        </w:tc>
      </w:tr>
      <w:tr>
        <w:trPr>
          <w:cantSplit w:val="true"/>
        </w:trPr>
        <w:tc>
          <w:tcPr>
            <w:tcW w:type="dxa" w:w="5600"/>
            <w:tcMar>
              <w:top w:w="85" w:type="dxa"/>
              <w:start w:w="120" w:type="dxa"/>
              <w:bottom w:w="85" w:type="dxa"/>
              <w:end w:w="120" w:type="dxa"/>
            </w:tcMar>
            <w:vAlign w:val="center"/>
          </w:tcPr>
          <w:p>
            <w:pPr>
              <w:spacing w:after="0" w:line="259" w:lineRule="auto"/>
            </w:pPr>
            <w:r>
              <w:rPr>
                <w:rFonts w:ascii="Calibri" w:hAnsi="Calibri"/>
                <w:color w:val="1B2638"/>
                <w:sz w:val="17"/>
              </w:rPr>
              <w:t>src/BlogWriter.UI/Presentation/SemanticThemes.axaml</w:t>
            </w:r>
          </w:p>
        </w:tc>
        <w:tc>
          <w:tcPr>
            <w:tcW w:type="dxa" w:w="3760"/>
            <w:tcMar>
              <w:top w:w="85" w:type="dxa"/>
              <w:start w:w="120" w:type="dxa"/>
              <w:bottom w:w="85" w:type="dxa"/>
              <w:end w:w="120" w:type="dxa"/>
            </w:tcMar>
            <w:vAlign w:val="center"/>
          </w:tcPr>
          <w:p>
            <w:pPr>
              <w:spacing w:after="0" w:line="259" w:lineRule="auto"/>
            </w:pPr>
            <w:r>
              <w:rPr>
                <w:rFonts w:ascii="Calibri" w:hAnsi="Calibri"/>
                <w:color w:val="1B2638"/>
                <w:sz w:val="17"/>
              </w:rPr>
              <w:t>Semantic tones bound to state.</w:t>
            </w:r>
          </w:p>
        </w:tc>
      </w:tr>
      <w:tr>
        <w:trPr>
          <w:cantSplit w:val="true"/>
        </w:trPr>
        <w:tc>
          <w:tcPr>
            <w:tcW w:type="dxa" w:w="5600"/>
            <w:tcMar>
              <w:top w:w="85" w:type="dxa"/>
              <w:start w:w="120" w:type="dxa"/>
              <w:bottom w:w="85" w:type="dxa"/>
              <w:end w:w="120" w:type="dxa"/>
            </w:tcMar>
            <w:vAlign w:val="center"/>
          </w:tcPr>
          <w:p>
            <w:pPr>
              <w:spacing w:after="0" w:line="259" w:lineRule="auto"/>
            </w:pPr>
            <w:r>
              <w:rPr>
                <w:rFonts w:ascii="Calibri" w:hAnsi="Calibri"/>
                <w:color w:val="1B2638"/>
                <w:sz w:val="17"/>
              </w:rPr>
              <w:t>src/BlogWriter.Application/Observability/WorkflowProgressHub.cs</w:t>
            </w:r>
          </w:p>
        </w:tc>
        <w:tc>
          <w:tcPr>
            <w:tcW w:type="dxa" w:w="3760"/>
            <w:tcMar>
              <w:top w:w="85" w:type="dxa"/>
              <w:start w:w="120" w:type="dxa"/>
              <w:bottom w:w="85" w:type="dxa"/>
              <w:end w:w="120" w:type="dxa"/>
            </w:tcMar>
            <w:vAlign w:val="center"/>
          </w:tcPr>
          <w:p>
            <w:pPr>
              <w:spacing w:after="0" w:line="259" w:lineRule="auto"/>
            </w:pPr>
            <w:r>
              <w:rPr>
                <w:rFonts w:ascii="Calibri" w:hAnsi="Calibri"/>
                <w:color w:val="1B2638"/>
                <w:sz w:val="17"/>
              </w:rPr>
              <w:t>UI-safe progress fan-out pattern.</w:t>
            </w:r>
          </w:p>
        </w:tc>
      </w:tr>
      <w:tr>
        <w:trPr>
          <w:cantSplit w:val="true"/>
        </w:trPr>
        <w:tc>
          <w:tcPr>
            <w:tcW w:type="dxa" w:w="5600"/>
            <w:tcMar>
              <w:top w:w="85" w:type="dxa"/>
              <w:start w:w="120" w:type="dxa"/>
              <w:bottom w:w="85" w:type="dxa"/>
              <w:end w:w="120" w:type="dxa"/>
            </w:tcMar>
            <w:vAlign w:val="center"/>
          </w:tcPr>
          <w:p>
            <w:pPr>
              <w:spacing w:after="0" w:line="259" w:lineRule="auto"/>
            </w:pPr>
            <w:r>
              <w:rPr>
                <w:rFonts w:ascii="Calibri" w:hAnsi="Calibri"/>
                <w:color w:val="1B2638"/>
                <w:sz w:val="17"/>
              </w:rPr>
              <w:t>src/BlogWriter.Core/Models/ExecutionFailureEnvelope.cs</w:t>
            </w:r>
          </w:p>
        </w:tc>
        <w:tc>
          <w:tcPr>
            <w:tcW w:type="dxa" w:w="3760"/>
            <w:tcMar>
              <w:top w:w="85" w:type="dxa"/>
              <w:start w:w="120" w:type="dxa"/>
              <w:bottom w:w="85" w:type="dxa"/>
              <w:end w:w="120" w:type="dxa"/>
            </w:tcMar>
            <w:vAlign w:val="center"/>
          </w:tcPr>
          <w:p>
            <w:pPr>
              <w:spacing w:after="0" w:line="259" w:lineRule="auto"/>
            </w:pPr>
            <w:r>
              <w:rPr>
                <w:rFonts w:ascii="Calibri" w:hAnsi="Calibri"/>
                <w:color w:val="1B2638"/>
                <w:sz w:val="17"/>
              </w:rPr>
              <w:t>Bounded failure metadata.</w:t>
            </w:r>
          </w:p>
        </w:tc>
      </w:tr>
      <w:tr>
        <w:trPr>
          <w:cantSplit w:val="true"/>
        </w:trPr>
        <w:tc>
          <w:tcPr>
            <w:tcW w:type="dxa" w:w="5600"/>
            <w:tcMar>
              <w:top w:w="85" w:type="dxa"/>
              <w:start w:w="120" w:type="dxa"/>
              <w:bottom w:w="85" w:type="dxa"/>
              <w:end w:w="120" w:type="dxa"/>
            </w:tcMar>
            <w:vAlign w:val="center"/>
          </w:tcPr>
          <w:p>
            <w:pPr>
              <w:spacing w:after="0" w:line="259" w:lineRule="auto"/>
            </w:pPr>
            <w:r>
              <w:rPr>
                <w:rFonts w:ascii="Calibri" w:hAnsi="Calibri"/>
                <w:color w:val="1B2638"/>
                <w:sz w:val="17"/>
              </w:rPr>
              <w:t>docs/design/workflow-visualization.md</w:t>
            </w:r>
          </w:p>
        </w:tc>
        <w:tc>
          <w:tcPr>
            <w:tcW w:type="dxa" w:w="3760"/>
            <w:tcMar>
              <w:top w:w="85" w:type="dxa"/>
              <w:start w:w="120" w:type="dxa"/>
              <w:bottom w:w="85" w:type="dxa"/>
              <w:end w:w="120" w:type="dxa"/>
            </w:tcMar>
            <w:vAlign w:val="center"/>
          </w:tcPr>
          <w:p>
            <w:pPr>
              <w:spacing w:after="0" w:line="259" w:lineRule="auto"/>
            </w:pPr>
            <w:r>
              <w:rPr>
                <w:rFonts w:ascii="Calibri" w:hAnsi="Calibri"/>
                <w:color w:val="1B2638"/>
                <w:sz w:val="17"/>
              </w:rPr>
              <w:t>Interaction rationale and selection synchronization.</w:t>
            </w:r>
          </w:p>
        </w:tc>
      </w:tr>
    </w:tbl>
    <w:p>
      <w:pPr>
        <w:pStyle w:val="Heading1"/>
        <w:keepNext/>
        <w:widowControl/>
      </w:pPr>
      <w:r>
        <w:t>Appendix B. Detailed semantic event catalog</w:t>
      </w:r>
    </w:p>
    <w:tbl>
      <w:tblPr>
        <w:tblStyle w:val="TableGrid"/>
        <w:tblW w:type="dxa" w:w="9360"/>
        <w:jc w:val="left"/>
        <w:tblLayout w:type="fixed"/>
        <w:tblLook w:firstColumn="1" w:firstRow="1" w:lastColumn="0" w:lastRow="0" w:noHBand="0" w:noVBand="1" w:val="04A0"/>
        <w:tblInd w:w="120" w:type="dxa"/>
        <w:tblBorders>
          <w:top w:val="single" w:sz="6" w:space="0" w:color="D8DEE7"/>
          <w:left w:val="single" w:sz="6" w:space="0" w:color="D8DEE7"/>
          <w:bottom w:val="single" w:sz="6" w:space="0" w:color="D8DEE7"/>
          <w:right w:val="single" w:sz="6" w:space="0" w:color="D8DEE7"/>
          <w:insideH w:val="single" w:sz="6" w:space="0" w:color="D8DEE7"/>
          <w:insideV w:val="single" w:sz="6" w:space="0" w:color="D8DEE7"/>
        </w:tblBorders>
      </w:tblPr>
      <w:tblGrid>
        <w:gridCol w:w="1500"/>
        <w:gridCol w:w="4300"/>
        <w:gridCol w:w="3560"/>
      </w:tblGrid>
      <w:tr>
        <w:trPr>
          <w:tblHeader w:val="true"/>
          <w:cantSplit w:val="true"/>
        </w:trPr>
        <w:tc>
          <w:tcPr>
            <w:tcW w:type="dxa" w:w="1500"/>
            <w:shd w:fill="E8F0FA" w:val="clear"/>
            <w:tcMar>
              <w:top w:w="85" w:type="dxa"/>
              <w:start w:w="120" w:type="dxa"/>
              <w:bottom w:w="85" w:type="dxa"/>
              <w:end w:w="120" w:type="dxa"/>
            </w:tcMar>
            <w:vAlign w:val="center"/>
          </w:tcPr>
          <w:p>
            <w:pPr>
              <w:spacing w:after="0"/>
            </w:pPr>
            <w:r>
              <w:rPr>
                <w:rFonts w:ascii="Calibri" w:hAnsi="Calibri"/>
                <w:b/>
                <w:color w:val="17365D"/>
                <w:sz w:val="19"/>
              </w:rPr>
              <w:t>Family</w:t>
            </w:r>
          </w:p>
        </w:tc>
        <w:tc>
          <w:tcPr>
            <w:tcW w:type="dxa" w:w="4300"/>
            <w:shd w:fill="E8F0FA" w:val="clear"/>
            <w:tcMar>
              <w:top w:w="85" w:type="dxa"/>
              <w:start w:w="120" w:type="dxa"/>
              <w:bottom w:w="85" w:type="dxa"/>
              <w:end w:w="120" w:type="dxa"/>
            </w:tcMar>
            <w:vAlign w:val="center"/>
          </w:tcPr>
          <w:p>
            <w:pPr>
              <w:spacing w:after="0"/>
            </w:pPr>
            <w:r>
              <w:rPr>
                <w:rFonts w:ascii="Calibri" w:hAnsi="Calibri"/>
                <w:b/>
                <w:color w:val="17365D"/>
                <w:sz w:val="19"/>
              </w:rPr>
              <w:t>Representative typed payloads</w:t>
            </w:r>
          </w:p>
        </w:tc>
        <w:tc>
          <w:tcPr>
            <w:tcW w:type="dxa" w:w="3560"/>
            <w:shd w:fill="E8F0FA" w:val="clear"/>
            <w:tcMar>
              <w:top w:w="85" w:type="dxa"/>
              <w:start w:w="120" w:type="dxa"/>
              <w:bottom w:w="85" w:type="dxa"/>
              <w:end w:w="120" w:type="dxa"/>
            </w:tcMar>
            <w:vAlign w:val="center"/>
          </w:tcPr>
          <w:p>
            <w:pPr>
              <w:spacing w:after="0"/>
            </w:pPr>
            <w:r>
              <w:rPr>
                <w:rFonts w:ascii="Calibri" w:hAnsi="Calibri"/>
                <w:b/>
                <w:color w:val="17365D"/>
                <w:sz w:val="19"/>
              </w:rPr>
              <w:t>Authoritative source / presentation</w:t>
            </w:r>
          </w:p>
        </w:tc>
      </w:tr>
      <w:tr>
        <w:trPr>
          <w:cantSplit w:val="true"/>
        </w:trPr>
        <w:tc>
          <w:tcPr>
            <w:tcW w:type="dxa" w:w="1500"/>
            <w:tcMar>
              <w:top w:w="85" w:type="dxa"/>
              <w:start w:w="120" w:type="dxa"/>
              <w:bottom w:w="85" w:type="dxa"/>
              <w:end w:w="120" w:type="dxa"/>
            </w:tcMar>
            <w:vAlign w:val="center"/>
          </w:tcPr>
          <w:p>
            <w:pPr>
              <w:spacing w:after="0" w:line="259" w:lineRule="auto"/>
            </w:pPr>
            <w:r>
              <w:rPr>
                <w:rFonts w:ascii="Calibri" w:hAnsi="Calibri"/>
                <w:color w:val="1B2638"/>
                <w:sz w:val="16"/>
              </w:rPr>
              <w:t>Run</w:t>
            </w:r>
          </w:p>
        </w:tc>
        <w:tc>
          <w:tcPr>
            <w:tcW w:type="dxa" w:w="4300"/>
            <w:tcMar>
              <w:top w:w="85" w:type="dxa"/>
              <w:start w:w="120" w:type="dxa"/>
              <w:bottom w:w="85" w:type="dxa"/>
              <w:end w:w="120" w:type="dxa"/>
            </w:tcMar>
            <w:vAlign w:val="center"/>
          </w:tcPr>
          <w:p>
            <w:pPr>
              <w:spacing w:after="0" w:line="259" w:lineRule="auto"/>
            </w:pPr>
            <w:r>
              <w:rPr>
                <w:rFonts w:ascii="Calibri" w:hAnsi="Calibri"/>
                <w:color w:val="1B2638"/>
                <w:sz w:val="16"/>
              </w:rPr>
              <w:t>RunConfigured, RunStarted, RunCompleted, RunCancelled</w:t>
            </w:r>
          </w:p>
        </w:tc>
        <w:tc>
          <w:tcPr>
            <w:tcW w:type="dxa" w:w="3560"/>
            <w:tcMar>
              <w:top w:w="85" w:type="dxa"/>
              <w:start w:w="120" w:type="dxa"/>
              <w:bottom w:w="85" w:type="dxa"/>
              <w:end w:w="120" w:type="dxa"/>
            </w:tcMar>
            <w:vAlign w:val="center"/>
          </w:tcPr>
          <w:p>
            <w:pPr>
              <w:spacing w:after="0" w:line="259" w:lineRule="auto"/>
            </w:pPr>
            <w:r>
              <w:rPr>
                <w:rFonts w:ascii="Calibri" w:hAnsi="Calibri"/>
                <w:color w:val="1B2638"/>
                <w:sz w:val="16"/>
              </w:rPr>
              <w:t>RunCoordinator; header and lifecycle.</w:t>
            </w:r>
          </w:p>
        </w:tc>
      </w:tr>
      <w:tr>
        <w:trPr>
          <w:cantSplit w:val="true"/>
        </w:trPr>
        <w:tc>
          <w:tcPr>
            <w:tcW w:type="dxa" w:w="1500"/>
            <w:tcMar>
              <w:top w:w="85" w:type="dxa"/>
              <w:start w:w="120" w:type="dxa"/>
              <w:bottom w:w="85" w:type="dxa"/>
              <w:end w:w="120" w:type="dxa"/>
            </w:tcMar>
            <w:vAlign w:val="center"/>
          </w:tcPr>
          <w:p>
            <w:pPr>
              <w:spacing w:after="0" w:line="259" w:lineRule="auto"/>
            </w:pPr>
            <w:r>
              <w:rPr>
                <w:rFonts w:ascii="Calibri" w:hAnsi="Calibri"/>
                <w:color w:val="1B2638"/>
                <w:sz w:val="16"/>
              </w:rPr>
              <w:t>User/model</w:t>
            </w:r>
          </w:p>
        </w:tc>
        <w:tc>
          <w:tcPr>
            <w:tcW w:type="dxa" w:w="4300"/>
            <w:tcMar>
              <w:top w:w="85" w:type="dxa"/>
              <w:start w:w="120" w:type="dxa"/>
              <w:bottom w:w="85" w:type="dxa"/>
              <w:end w:w="120" w:type="dxa"/>
            </w:tcMar>
            <w:vAlign w:val="center"/>
          </w:tcPr>
          <w:p>
            <w:pPr>
              <w:spacing w:after="0" w:line="259" w:lineRule="auto"/>
            </w:pPr>
            <w:r>
              <w:rPr>
                <w:rFonts w:ascii="Calibri" w:hAnsi="Calibri"/>
                <w:color w:val="1B2638"/>
                <w:sz w:val="16"/>
              </w:rPr>
              <w:t>UserMessageSubmitted, ModelRequestStarted, ModelResponseReceived, AgentAnswerProduced</w:t>
            </w:r>
          </w:p>
        </w:tc>
        <w:tc>
          <w:tcPr>
            <w:tcW w:type="dxa" w:w="3560"/>
            <w:tcMar>
              <w:top w:w="85" w:type="dxa"/>
              <w:start w:w="120" w:type="dxa"/>
              <w:bottom w:w="85" w:type="dxa"/>
              <w:end w:w="120" w:type="dxa"/>
            </w:tcMar>
            <w:vAlign w:val="center"/>
          </w:tcPr>
          <w:p>
            <w:pPr>
              <w:spacing w:after="0" w:line="259" w:lineRule="auto"/>
            </w:pPr>
            <w:r>
              <w:rPr>
                <w:rFonts w:ascii="Calibri" w:hAnsi="Calibri"/>
                <w:color w:val="1B2638"/>
                <w:sz w:val="16"/>
              </w:rPr>
              <w:t>Visible messages/timing; story turn.</w:t>
            </w:r>
          </w:p>
        </w:tc>
      </w:tr>
      <w:tr>
        <w:trPr>
          <w:cantSplit w:val="true"/>
        </w:trPr>
        <w:tc>
          <w:tcPr>
            <w:tcW w:type="dxa" w:w="1500"/>
            <w:tcMar>
              <w:top w:w="85" w:type="dxa"/>
              <w:start w:w="120" w:type="dxa"/>
              <w:bottom w:w="85" w:type="dxa"/>
              <w:end w:w="120" w:type="dxa"/>
            </w:tcMar>
            <w:vAlign w:val="center"/>
          </w:tcPr>
          <w:p>
            <w:pPr>
              <w:spacing w:after="0" w:line="259" w:lineRule="auto"/>
            </w:pPr>
            <w:r>
              <w:rPr>
                <w:rFonts w:ascii="Calibri" w:hAnsi="Calibri"/>
                <w:color w:val="1B2638"/>
                <w:sz w:val="16"/>
              </w:rPr>
              <w:t>MCP</w:t>
            </w:r>
          </w:p>
        </w:tc>
        <w:tc>
          <w:tcPr>
            <w:tcW w:type="dxa" w:w="4300"/>
            <w:tcMar>
              <w:top w:w="85" w:type="dxa"/>
              <w:start w:w="120" w:type="dxa"/>
              <w:bottom w:w="85" w:type="dxa"/>
              <w:end w:w="120" w:type="dxa"/>
            </w:tcMar>
            <w:vAlign w:val="center"/>
          </w:tcPr>
          <w:p>
            <w:pPr>
              <w:spacing w:after="0" w:line="259" w:lineRule="auto"/>
            </w:pPr>
            <w:r>
              <w:rPr>
                <w:rFonts w:ascii="Calibri" w:hAnsi="Calibri"/>
                <w:color w:val="1B2638"/>
                <w:sz w:val="16"/>
              </w:rPr>
              <w:t>ProcessStarting, SessionReady, ToolRequested, ResultReceived</w:t>
            </w:r>
          </w:p>
        </w:tc>
        <w:tc>
          <w:tcPr>
            <w:tcW w:type="dxa" w:w="3560"/>
            <w:tcMar>
              <w:top w:w="85" w:type="dxa"/>
              <w:start w:w="120" w:type="dxa"/>
              <w:bottom w:w="85" w:type="dxa"/>
              <w:end w:w="120" w:type="dxa"/>
            </w:tcMar>
            <w:vAlign w:val="center"/>
          </w:tcPr>
          <w:p>
            <w:pPr>
              <w:spacing w:after="0" w:line="259" w:lineRule="auto"/>
            </w:pPr>
            <w:r>
              <w:rPr>
                <w:rFonts w:ascii="Calibri" w:hAnsi="Calibri"/>
                <w:color w:val="1B2638"/>
                <w:sz w:val="16"/>
              </w:rPr>
              <w:t>Process/session identity; third-party route.</w:t>
            </w:r>
          </w:p>
        </w:tc>
      </w:tr>
      <w:tr>
        <w:trPr>
          <w:cantSplit w:val="true"/>
        </w:trPr>
        <w:tc>
          <w:tcPr>
            <w:tcW w:type="dxa" w:w="1500"/>
            <w:tcMar>
              <w:top w:w="85" w:type="dxa"/>
              <w:start w:w="120" w:type="dxa"/>
              <w:bottom w:w="85" w:type="dxa"/>
              <w:end w:w="120" w:type="dxa"/>
            </w:tcMar>
            <w:vAlign w:val="center"/>
          </w:tcPr>
          <w:p>
            <w:pPr>
              <w:spacing w:after="0" w:line="259" w:lineRule="auto"/>
            </w:pPr>
            <w:r>
              <w:rPr>
                <w:rFonts w:ascii="Calibri" w:hAnsi="Calibri"/>
                <w:color w:val="1B2638"/>
                <w:sz w:val="16"/>
              </w:rPr>
              <w:t>Proposal</w:t>
            </w:r>
          </w:p>
        </w:tc>
        <w:tc>
          <w:tcPr>
            <w:tcW w:type="dxa" w:w="4300"/>
            <w:tcMar>
              <w:top w:w="85" w:type="dxa"/>
              <w:start w:w="120" w:type="dxa"/>
              <w:bottom w:w="85" w:type="dxa"/>
              <w:end w:w="120" w:type="dxa"/>
            </w:tcMar>
            <w:vAlign w:val="center"/>
          </w:tcPr>
          <w:p>
            <w:pPr>
              <w:spacing w:after="0" w:line="259" w:lineRule="auto"/>
            </w:pPr>
            <w:r>
              <w:rPr>
                <w:rFonts w:ascii="Calibri" w:hAnsi="Calibri"/>
                <w:color w:val="1B2638"/>
                <w:sz w:val="16"/>
              </w:rPr>
              <w:t>ToolProposed with bounded arguments and scenario classification</w:t>
            </w:r>
          </w:p>
        </w:tc>
        <w:tc>
          <w:tcPr>
            <w:tcW w:type="dxa" w:w="3560"/>
            <w:tcMar>
              <w:top w:w="85" w:type="dxa"/>
              <w:start w:w="120" w:type="dxa"/>
              <w:bottom w:w="85" w:type="dxa"/>
              <w:end w:w="120" w:type="dxa"/>
            </w:tcMar>
            <w:vAlign w:val="center"/>
          </w:tcPr>
          <w:p>
            <w:pPr>
              <w:spacing w:after="0" w:line="259" w:lineRule="auto"/>
            </w:pPr>
            <w:r>
              <w:rPr>
                <w:rFonts w:ascii="Calibri" w:hAnsi="Calibri"/>
                <w:color w:val="1B2638"/>
                <w:sz w:val="16"/>
              </w:rPr>
              <w:t>RecordingChatClient/journal; attempted route.</w:t>
            </w:r>
          </w:p>
        </w:tc>
      </w:tr>
      <w:tr>
        <w:trPr>
          <w:cantSplit w:val="true"/>
        </w:trPr>
        <w:tc>
          <w:tcPr>
            <w:tcW w:type="dxa" w:w="1500"/>
            <w:tcMar>
              <w:top w:w="85" w:type="dxa"/>
              <w:start w:w="120" w:type="dxa"/>
              <w:bottom w:w="85" w:type="dxa"/>
              <w:end w:w="120" w:type="dxa"/>
            </w:tcMar>
            <w:vAlign w:val="center"/>
          </w:tcPr>
          <w:p>
            <w:pPr>
              <w:spacing w:after="0" w:line="259" w:lineRule="auto"/>
            </w:pPr>
            <w:r>
              <w:rPr>
                <w:rFonts w:ascii="Calibri" w:hAnsi="Calibri"/>
                <w:color w:val="1B2638"/>
                <w:sz w:val="16"/>
              </w:rPr>
              <w:t>Policy</w:t>
            </w:r>
          </w:p>
        </w:tc>
        <w:tc>
          <w:tcPr>
            <w:tcW w:type="dxa" w:w="4300"/>
            <w:tcMar>
              <w:top w:w="85" w:type="dxa"/>
              <w:start w:w="120" w:type="dxa"/>
              <w:bottom w:w="85" w:type="dxa"/>
              <w:end w:w="120" w:type="dxa"/>
            </w:tcMar>
            <w:vAlign w:val="center"/>
          </w:tcPr>
          <w:p>
            <w:pPr>
              <w:spacing w:after="0" w:line="259" w:lineRule="auto"/>
            </w:pPr>
            <w:r>
              <w:rPr>
                <w:rFonts w:ascii="Calibri" w:hAnsi="Calibri"/>
                <w:color w:val="1B2638"/>
                <w:sz w:val="16"/>
              </w:rPr>
              <w:t>FindingRecorded, CallBlocked, ResultWithheld, RefusalReturned</w:t>
            </w:r>
          </w:p>
        </w:tc>
        <w:tc>
          <w:tcPr>
            <w:tcW w:type="dxa" w:w="3560"/>
            <w:tcMar>
              <w:top w:w="85" w:type="dxa"/>
              <w:start w:w="120" w:type="dxa"/>
              <w:bottom w:w="85" w:type="dxa"/>
              <w:end w:w="120" w:type="dxa"/>
            </w:tcMar>
            <w:vAlign w:val="center"/>
          </w:tcPr>
          <w:p>
            <w:pPr>
              <w:spacing w:after="0" w:line="259" w:lineRule="auto"/>
            </w:pPr>
            <w:r>
              <w:rPr>
                <w:rFonts w:ascii="Calibri" w:hAnsi="Calibri"/>
                <w:color w:val="1B2638"/>
                <w:sz w:val="16"/>
              </w:rPr>
              <w:t>Gatekeeper finding; inline protection state.</w:t>
            </w:r>
          </w:p>
        </w:tc>
      </w:tr>
      <w:tr>
        <w:trPr>
          <w:cantSplit w:val="true"/>
        </w:trPr>
        <w:tc>
          <w:tcPr>
            <w:tcW w:type="dxa" w:w="1500"/>
            <w:tcMar>
              <w:top w:w="85" w:type="dxa"/>
              <w:start w:w="120" w:type="dxa"/>
              <w:bottom w:w="85" w:type="dxa"/>
              <w:end w:w="120" w:type="dxa"/>
            </w:tcMar>
            <w:vAlign w:val="center"/>
          </w:tcPr>
          <w:p>
            <w:pPr>
              <w:spacing w:after="0" w:line="259" w:lineRule="auto"/>
            </w:pPr>
            <w:r>
              <w:rPr>
                <w:rFonts w:ascii="Calibri" w:hAnsi="Calibri"/>
                <w:color w:val="1B2638"/>
                <w:sz w:val="16"/>
              </w:rPr>
              <w:t>Execution/effect</w:t>
            </w:r>
          </w:p>
        </w:tc>
        <w:tc>
          <w:tcPr>
            <w:tcW w:type="dxa" w:w="4300"/>
            <w:tcMar>
              <w:top w:w="85" w:type="dxa"/>
              <w:start w:w="120" w:type="dxa"/>
              <w:bottom w:w="85" w:type="dxa"/>
              <w:end w:w="120" w:type="dxa"/>
            </w:tcMar>
            <w:vAlign w:val="center"/>
          </w:tcPr>
          <w:p>
            <w:pPr>
              <w:spacing w:after="0" w:line="259" w:lineRule="auto"/>
            </w:pPr>
            <w:r>
              <w:rPr>
                <w:rFonts w:ascii="Calibri" w:hAnsi="Calibri"/>
                <w:color w:val="1B2638"/>
                <w:sz w:val="16"/>
              </w:rPr>
              <w:t>ToolExecutionStarted, ToolCompleted, EffectRecorded</w:t>
            </w:r>
          </w:p>
        </w:tc>
        <w:tc>
          <w:tcPr>
            <w:tcW w:type="dxa" w:w="3560"/>
            <w:tcMar>
              <w:top w:w="85" w:type="dxa"/>
              <w:start w:w="120" w:type="dxa"/>
              <w:bottom w:w="85" w:type="dxa"/>
              <w:end w:w="120" w:type="dxa"/>
            </w:tcMar>
            <w:vAlign w:val="center"/>
          </w:tcPr>
          <w:p>
            <w:pPr>
              <w:spacing w:after="0" w:line="259" w:lineRule="auto"/>
            </w:pPr>
            <w:r>
              <w:rPr>
                <w:rFonts w:ascii="Calibri" w:hAnsi="Calibri"/>
                <w:color w:val="1B2638"/>
                <w:sz w:val="16"/>
              </w:rPr>
              <w:t>Tool + effect ledger; executed route/counters.</w:t>
            </w:r>
          </w:p>
        </w:tc>
      </w:tr>
      <w:tr>
        <w:trPr>
          <w:cantSplit w:val="true"/>
        </w:trPr>
        <w:tc>
          <w:tcPr>
            <w:tcW w:type="dxa" w:w="1500"/>
            <w:tcMar>
              <w:top w:w="85" w:type="dxa"/>
              <w:start w:w="120" w:type="dxa"/>
              <w:bottom w:w="85" w:type="dxa"/>
              <w:end w:w="120" w:type="dxa"/>
            </w:tcMar>
            <w:vAlign w:val="center"/>
          </w:tcPr>
          <w:p>
            <w:pPr>
              <w:spacing w:after="0" w:line="259" w:lineRule="auto"/>
            </w:pPr>
            <w:r>
              <w:rPr>
                <w:rFonts w:ascii="Calibri" w:hAnsi="Calibri"/>
                <w:color w:val="1B2638"/>
                <w:sz w:val="16"/>
              </w:rPr>
              <w:t>Containment</w:t>
            </w:r>
          </w:p>
        </w:tc>
        <w:tc>
          <w:tcPr>
            <w:tcW w:type="dxa" w:w="4300"/>
            <w:tcMar>
              <w:top w:w="85" w:type="dxa"/>
              <w:start w:w="120" w:type="dxa"/>
              <w:bottom w:w="85" w:type="dxa"/>
              <w:end w:w="120" w:type="dxa"/>
            </w:tcMar>
            <w:vAlign w:val="center"/>
          </w:tcPr>
          <w:p>
            <w:pPr>
              <w:spacing w:after="0" w:line="259" w:lineRule="auto"/>
            </w:pPr>
            <w:r>
              <w:rPr>
                <w:rFonts w:ascii="Calibri" w:hAnsi="Calibri"/>
                <w:color w:val="1B2638"/>
                <w:sz w:val="16"/>
              </w:rPr>
              <w:t>OperatorDecisionRequested, ContainmentActivated, RetryRefused</w:t>
            </w:r>
          </w:p>
        </w:tc>
        <w:tc>
          <w:tcPr>
            <w:tcW w:type="dxa" w:w="3560"/>
            <w:tcMar>
              <w:top w:w="85" w:type="dxa"/>
              <w:start w:w="120" w:type="dxa"/>
              <w:bottom w:w="85" w:type="dxa"/>
              <w:end w:w="120" w:type="dxa"/>
            </w:tcMar>
            <w:vAlign w:val="center"/>
          </w:tcPr>
          <w:p>
            <w:pPr>
              <w:spacing w:after="0" w:line="259" w:lineRule="auto"/>
            </w:pPr>
            <w:r>
              <w:rPr>
                <w:rFonts w:ascii="Calibri" w:hAnsi="Calibri"/>
                <w:color w:val="1B2638"/>
                <w:sz w:val="16"/>
              </w:rPr>
              <w:t>Run-scoped store; operator/source-control action.</w:t>
            </w:r>
          </w:p>
        </w:tc>
      </w:tr>
      <w:tr>
        <w:trPr>
          <w:cantSplit w:val="true"/>
        </w:trPr>
        <w:tc>
          <w:tcPr>
            <w:tcW w:type="dxa" w:w="1500"/>
            <w:tcMar>
              <w:top w:w="85" w:type="dxa"/>
              <w:start w:w="120" w:type="dxa"/>
              <w:bottom w:w="85" w:type="dxa"/>
              <w:end w:w="120" w:type="dxa"/>
            </w:tcMar>
            <w:vAlign w:val="center"/>
          </w:tcPr>
          <w:p>
            <w:pPr>
              <w:spacing w:after="0" w:line="259" w:lineRule="auto"/>
            </w:pPr>
            <w:r>
              <w:rPr>
                <w:rFonts w:ascii="Calibri" w:hAnsi="Calibri"/>
                <w:color w:val="1B2638"/>
                <w:sz w:val="16"/>
              </w:rPr>
              <w:t>Oracle</w:t>
            </w:r>
          </w:p>
        </w:tc>
        <w:tc>
          <w:tcPr>
            <w:tcW w:type="dxa" w:w="4300"/>
            <w:tcMar>
              <w:top w:w="85" w:type="dxa"/>
              <w:start w:w="120" w:type="dxa"/>
              <w:bottom w:w="85" w:type="dxa"/>
              <w:end w:w="120" w:type="dxa"/>
            </w:tcMar>
            <w:vAlign w:val="center"/>
          </w:tcPr>
          <w:p>
            <w:pPr>
              <w:spacing w:after="0" w:line="259" w:lineRule="auto"/>
            </w:pPr>
            <w:r>
              <w:rPr>
                <w:rFonts w:ascii="Calibri" w:hAnsi="Calibri"/>
                <w:color w:val="1B2638"/>
                <w:sz w:val="16"/>
              </w:rPr>
              <w:t>ClaimEvaluated, CanonicalVerdictRecorded</w:t>
            </w:r>
          </w:p>
        </w:tc>
        <w:tc>
          <w:tcPr>
            <w:tcW w:type="dxa" w:w="3560"/>
            <w:tcMar>
              <w:top w:w="85" w:type="dxa"/>
              <w:start w:w="120" w:type="dxa"/>
              <w:bottom w:w="85" w:type="dxa"/>
              <w:end w:w="120" w:type="dxa"/>
            </w:tcMar>
            <w:vAlign w:val="center"/>
          </w:tcPr>
          <w:p>
            <w:pPr>
              <w:spacing w:after="0" w:line="259" w:lineRule="auto"/>
            </w:pPr>
            <w:r>
              <w:rPr>
                <w:rFonts w:ascii="Calibri" w:hAnsi="Calibri"/>
                <w:color w:val="1B2638"/>
                <w:sz w:val="16"/>
              </w:rPr>
              <w:t>PhaseOutcome/PhaseOracle; evidence summary only.</w:t>
            </w:r>
          </w:p>
        </w:tc>
      </w:tr>
      <w:tr>
        <w:trPr>
          <w:cantSplit w:val="true"/>
        </w:trPr>
        <w:tc>
          <w:tcPr>
            <w:tcW w:type="dxa" w:w="1500"/>
            <w:tcMar>
              <w:top w:w="85" w:type="dxa"/>
              <w:start w:w="120" w:type="dxa"/>
              <w:bottom w:w="85" w:type="dxa"/>
              <w:end w:w="120" w:type="dxa"/>
            </w:tcMar>
            <w:vAlign w:val="center"/>
          </w:tcPr>
          <w:p>
            <w:pPr>
              <w:spacing w:after="0" w:line="259" w:lineRule="auto"/>
            </w:pPr>
            <w:r>
              <w:rPr>
                <w:rFonts w:ascii="Calibri" w:hAnsi="Calibri"/>
                <w:color w:val="1B2638"/>
                <w:sz w:val="16"/>
              </w:rPr>
              <w:t>Diagnostic</w:t>
            </w:r>
          </w:p>
        </w:tc>
        <w:tc>
          <w:tcPr>
            <w:tcW w:type="dxa" w:w="4300"/>
            <w:tcMar>
              <w:top w:w="85" w:type="dxa"/>
              <w:start w:w="120" w:type="dxa"/>
              <w:bottom w:w="85" w:type="dxa"/>
              <w:end w:w="120" w:type="dxa"/>
            </w:tcMar>
            <w:vAlign w:val="center"/>
          </w:tcPr>
          <w:p>
            <w:pPr>
              <w:spacing w:after="0" w:line="259" w:lineRule="auto"/>
            </w:pPr>
            <w:r>
              <w:rPr>
                <w:rFonts w:ascii="Calibri" w:hAnsi="Calibri"/>
                <w:color w:val="1B2638"/>
                <w:sz w:val="16"/>
              </w:rPr>
              <w:t>OperationFailed, ProjectionGap, ArtifactIntegrityWarning</w:t>
            </w:r>
          </w:p>
        </w:tc>
        <w:tc>
          <w:tcPr>
            <w:tcW w:type="dxa" w:w="3560"/>
            <w:tcMar>
              <w:top w:w="85" w:type="dxa"/>
              <w:start w:w="120" w:type="dxa"/>
              <w:bottom w:w="85" w:type="dxa"/>
              <w:end w:w="120" w:type="dxa"/>
            </w:tcMar>
            <w:vAlign w:val="center"/>
          </w:tcPr>
          <w:p>
            <w:pPr>
              <w:spacing w:after="0" w:line="259" w:lineRule="auto"/>
            </w:pPr>
            <w:r>
              <w:rPr>
                <w:rFonts w:ascii="Calibri" w:hAnsi="Calibri"/>
                <w:color w:val="1B2638"/>
                <w:sz w:val="16"/>
              </w:rPr>
              <w:t>Structured diagnostic plane; banner/Debug link.</w:t>
            </w:r>
          </w:p>
        </w:tc>
      </w:tr>
      <w:tr>
        <w:trPr>
          <w:cantSplit w:val="true"/>
        </w:trPr>
        <w:tc>
          <w:tcPr>
            <w:tcW w:type="dxa" w:w="1500"/>
            <w:tcMar>
              <w:top w:w="85" w:type="dxa"/>
              <w:start w:w="120" w:type="dxa"/>
              <w:bottom w:w="85" w:type="dxa"/>
              <w:end w:w="120" w:type="dxa"/>
            </w:tcMar>
            <w:vAlign w:val="center"/>
          </w:tcPr>
          <w:p>
            <w:pPr>
              <w:spacing w:after="0" w:line="259" w:lineRule="auto"/>
            </w:pPr>
            <w:r>
              <w:rPr>
                <w:rFonts w:ascii="Calibri" w:hAnsi="Calibri"/>
                <w:color w:val="1B2638"/>
                <w:sz w:val="16"/>
              </w:rPr>
              <w:t>Evaluation</w:t>
            </w:r>
          </w:p>
        </w:tc>
        <w:tc>
          <w:tcPr>
            <w:tcW w:type="dxa" w:w="4300"/>
            <w:tcMar>
              <w:top w:w="85" w:type="dxa"/>
              <w:start w:w="120" w:type="dxa"/>
              <w:bottom w:w="85" w:type="dxa"/>
              <w:end w:w="120" w:type="dxa"/>
            </w:tcMar>
            <w:vAlign w:val="center"/>
          </w:tcPr>
          <w:p>
            <w:pPr>
              <w:spacing w:after="0" w:line="259" w:lineRule="auto"/>
            </w:pPr>
            <w:r>
              <w:rPr>
                <w:rFonts w:ascii="Calibri" w:hAnsi="Calibri"/>
                <w:color w:val="1B2638"/>
                <w:sz w:val="16"/>
              </w:rPr>
              <w:t>RunRecordUpdated, ArmCompleted, ReportReady, JudgeUnavailable</w:t>
            </w:r>
          </w:p>
        </w:tc>
        <w:tc>
          <w:tcPr>
            <w:tcW w:type="dxa" w:w="3560"/>
            <w:tcMar>
              <w:top w:w="85" w:type="dxa"/>
              <w:start w:w="120" w:type="dxa"/>
              <w:bottom w:w="85" w:type="dxa"/>
              <w:end w:w="120" w:type="dxa"/>
            </w:tcMar>
            <w:vAlign w:val="center"/>
          </w:tcPr>
          <w:p>
            <w:pPr>
              <w:spacing w:after="0" w:line="259" w:lineRule="auto"/>
            </w:pPr>
            <w:r>
              <w:rPr>
                <w:rFonts w:ascii="Calibri" w:hAnsi="Calibri"/>
                <w:color w:val="1B2638"/>
                <w:sz w:val="16"/>
              </w:rPr>
              <w:t>Evaluator; later Experiment workspace.</w:t>
            </w:r>
          </w:p>
        </w:tc>
      </w:tr>
    </w:tbl>
    <w:p>
      <w:pPr>
        <w:pStyle w:val="Heading1"/>
        <w:keepNext/>
        <w:widowControl/>
      </w:pPr>
      <w:r>
        <w:t>Appendix C. Protection and configuration rules</w:t>
      </w:r>
    </w:p>
    <w:tbl>
      <w:tblPr>
        <w:tblStyle w:val="TableGrid"/>
        <w:tblW w:type="dxa" w:w="9360"/>
        <w:jc w:val="left"/>
        <w:tblLayout w:type="fixed"/>
        <w:tblLook w:firstColumn="1" w:firstRow="1" w:lastColumn="0" w:lastRow="0" w:noHBand="0" w:noVBand="1" w:val="04A0"/>
        <w:tblInd w:w="120" w:type="dxa"/>
        <w:tblBorders>
          <w:top w:val="single" w:sz="6" w:space="0" w:color="D8DEE7"/>
          <w:left w:val="single" w:sz="6" w:space="0" w:color="D8DEE7"/>
          <w:bottom w:val="single" w:sz="6" w:space="0" w:color="D8DEE7"/>
          <w:right w:val="single" w:sz="6" w:space="0" w:color="D8DEE7"/>
          <w:insideH w:val="single" w:sz="6" w:space="0" w:color="D8DEE7"/>
          <w:insideV w:val="single" w:sz="6" w:space="0" w:color="D8DEE7"/>
        </w:tblBorders>
      </w:tblPr>
      <w:tblGrid>
        <w:gridCol w:w="3100"/>
        <w:gridCol w:w="6260"/>
      </w:tblGrid>
      <w:tr>
        <w:trPr>
          <w:tblHeader w:val="true"/>
          <w:cantSplit w:val="true"/>
        </w:trPr>
        <w:tc>
          <w:tcPr>
            <w:tcW w:type="dxa" w:w="3100"/>
            <w:shd w:fill="E8F0FA" w:val="clear"/>
            <w:tcMar>
              <w:top w:w="85" w:type="dxa"/>
              <w:start w:w="120" w:type="dxa"/>
              <w:bottom w:w="85" w:type="dxa"/>
              <w:end w:w="120" w:type="dxa"/>
            </w:tcMar>
            <w:vAlign w:val="center"/>
          </w:tcPr>
          <w:p>
            <w:pPr>
              <w:spacing w:after="0"/>
            </w:pPr>
            <w:r>
              <w:rPr>
                <w:rFonts w:ascii="Calibri" w:hAnsi="Calibri"/>
                <w:b/>
                <w:color w:val="17365D"/>
                <w:sz w:val="19"/>
              </w:rPr>
              <w:t>Rule</w:t>
            </w:r>
          </w:p>
        </w:tc>
        <w:tc>
          <w:tcPr>
            <w:tcW w:type="dxa" w:w="6260"/>
            <w:shd w:fill="E8F0FA" w:val="clear"/>
            <w:tcMar>
              <w:top w:w="85" w:type="dxa"/>
              <w:start w:w="120" w:type="dxa"/>
              <w:bottom w:w="85" w:type="dxa"/>
              <w:end w:w="120" w:type="dxa"/>
            </w:tcMar>
            <w:vAlign w:val="center"/>
          </w:tcPr>
          <w:p>
            <w:pPr>
              <w:spacing w:after="0"/>
            </w:pPr>
            <w:r>
              <w:rPr>
                <w:rFonts w:ascii="Calibri" w:hAnsi="Calibri"/>
                <w:b/>
                <w:color w:val="17365D"/>
                <w:sz w:val="19"/>
              </w:rPr>
              <w:t>Behavior</w:t>
            </w:r>
          </w:p>
        </w:tc>
      </w:tr>
      <w:tr>
        <w:trPr>
          <w:cantSplit w:val="true"/>
        </w:trPr>
        <w:tc>
          <w:tcPr>
            <w:tcW w:type="dxa" w:w="3100"/>
            <w:tcMar>
              <w:top w:w="85" w:type="dxa"/>
              <w:start w:w="120" w:type="dxa"/>
              <w:bottom w:w="85" w:type="dxa"/>
              <w:end w:w="120" w:type="dxa"/>
            </w:tcMar>
            <w:vAlign w:val="center"/>
          </w:tcPr>
          <w:p>
            <w:pPr>
              <w:spacing w:after="0" w:line="259" w:lineRule="auto"/>
            </w:pPr>
            <w:r>
              <w:rPr>
                <w:rFonts w:ascii="Calibri" w:hAnsi="Calibri"/>
                <w:color w:val="1B2638"/>
                <w:sz w:val="17"/>
              </w:rPr>
              <w:t>Master Off</w:t>
            </w:r>
          </w:p>
        </w:tc>
        <w:tc>
          <w:tcPr>
            <w:tcW w:type="dxa" w:w="6260"/>
            <w:tcMar>
              <w:top w:w="85" w:type="dxa"/>
              <w:start w:w="120" w:type="dxa"/>
              <w:bottom w:w="85" w:type="dxa"/>
              <w:end w:w="120" w:type="dxa"/>
            </w:tcMar>
            <w:vAlign w:val="center"/>
          </w:tcPr>
          <w:p>
            <w:pPr>
              <w:spacing w:after="0" w:line="259" w:lineRule="auto"/>
            </w:pPr>
            <w:r>
              <w:rPr>
                <w:rFonts w:ascii="Calibri" w:hAnsi="Calibri"/>
                <w:color w:val="1B2638"/>
                <w:sz w:val="17"/>
              </w:rPr>
              <w:t>No Gatekeeper middleware is installed; selected protections are remembered; observability and scenario classification remain on.</w:t>
            </w:r>
          </w:p>
        </w:tc>
      </w:tr>
      <w:tr>
        <w:trPr>
          <w:cantSplit w:val="true"/>
        </w:trPr>
        <w:tc>
          <w:tcPr>
            <w:tcW w:type="dxa" w:w="3100"/>
            <w:tcMar>
              <w:top w:w="85" w:type="dxa"/>
              <w:start w:w="120" w:type="dxa"/>
              <w:bottom w:w="85" w:type="dxa"/>
              <w:end w:w="120" w:type="dxa"/>
            </w:tcMar>
            <w:vAlign w:val="center"/>
          </w:tcPr>
          <w:p>
            <w:pPr>
              <w:spacing w:after="0" w:line="259" w:lineRule="auto"/>
            </w:pPr>
            <w:r>
              <w:rPr>
                <w:rFonts w:ascii="Calibri" w:hAnsi="Calibri"/>
                <w:color w:val="1B2638"/>
                <w:sz w:val="17"/>
              </w:rPr>
              <w:t>Master On + 0 selected</w:t>
            </w:r>
          </w:p>
        </w:tc>
        <w:tc>
          <w:tcPr>
            <w:tcW w:type="dxa" w:w="6260"/>
            <w:tcMar>
              <w:top w:w="85" w:type="dxa"/>
              <w:start w:w="120" w:type="dxa"/>
              <w:bottom w:w="85" w:type="dxa"/>
              <w:end w:w="120" w:type="dxa"/>
            </w:tcMar>
            <w:vAlign w:val="center"/>
          </w:tcPr>
          <w:p>
            <w:pPr>
              <w:spacing w:after="0" w:line="259" w:lineRule="auto"/>
            </w:pPr>
            <w:r>
              <w:rPr>
                <w:rFonts w:ascii="Calibri" w:hAnsi="Calibri"/>
                <w:color w:val="1B2638"/>
                <w:sz w:val="17"/>
              </w:rPr>
              <w:t>Invalid configuration; UI explains no effective protection and refuses Run.</w:t>
            </w:r>
          </w:p>
        </w:tc>
      </w:tr>
      <w:tr>
        <w:trPr>
          <w:cantSplit w:val="true"/>
        </w:trPr>
        <w:tc>
          <w:tcPr>
            <w:tcW w:type="dxa" w:w="3100"/>
            <w:tcMar>
              <w:top w:w="85" w:type="dxa"/>
              <w:start w:w="120" w:type="dxa"/>
              <w:bottom w:w="85" w:type="dxa"/>
              <w:end w:w="120" w:type="dxa"/>
            </w:tcMar>
            <w:vAlign w:val="center"/>
          </w:tcPr>
          <w:p>
            <w:pPr>
              <w:spacing w:after="0" w:line="259" w:lineRule="auto"/>
            </w:pPr>
            <w:r>
              <w:rPr>
                <w:rFonts w:ascii="Calibri" w:hAnsi="Calibri"/>
                <w:color w:val="1B2638"/>
                <w:sz w:val="17"/>
              </w:rPr>
              <w:t>Containment selected without result admission</w:t>
            </w:r>
          </w:p>
        </w:tc>
        <w:tc>
          <w:tcPr>
            <w:tcW w:type="dxa" w:w="6260"/>
            <w:tcMar>
              <w:top w:w="85" w:type="dxa"/>
              <w:start w:w="120" w:type="dxa"/>
              <w:bottom w:w="85" w:type="dxa"/>
              <w:end w:w="120" w:type="dxa"/>
            </w:tcMar>
            <w:vAlign w:val="center"/>
          </w:tcPr>
          <w:p>
            <w:pPr>
              <w:spacing w:after="0" w:line="259" w:lineRule="auto"/>
            </w:pPr>
            <w:r>
              <w:rPr>
                <w:rFonts w:ascii="Calibri" w:hAnsi="Calibri"/>
                <w:color w:val="1B2638"/>
                <w:sz w:val="17"/>
              </w:rPr>
              <w:t>Invalid canonical configuration; containment requires a result finding and explicit operator decision.</w:t>
            </w:r>
          </w:p>
        </w:tc>
      </w:tr>
      <w:tr>
        <w:trPr>
          <w:cantSplit w:val="true"/>
        </w:trPr>
        <w:tc>
          <w:tcPr>
            <w:tcW w:type="dxa" w:w="3100"/>
            <w:tcMar>
              <w:top w:w="85" w:type="dxa"/>
              <w:start w:w="120" w:type="dxa"/>
              <w:bottom w:w="85" w:type="dxa"/>
              <w:end w:w="120" w:type="dxa"/>
            </w:tcMar>
            <w:vAlign w:val="center"/>
          </w:tcPr>
          <w:p>
            <w:pPr>
              <w:spacing w:after="0" w:line="259" w:lineRule="auto"/>
            </w:pPr>
            <w:r>
              <w:rPr>
                <w:rFonts w:ascii="Calibri" w:hAnsi="Calibri"/>
                <w:color w:val="1B2638"/>
                <w:sz w:val="17"/>
              </w:rPr>
              <w:t>Preset edited</w:t>
            </w:r>
          </w:p>
        </w:tc>
        <w:tc>
          <w:tcPr>
            <w:tcW w:type="dxa" w:w="6260"/>
            <w:tcMar>
              <w:top w:w="85" w:type="dxa"/>
              <w:start w:w="120" w:type="dxa"/>
              <w:bottom w:w="85" w:type="dxa"/>
              <w:end w:w="120" w:type="dxa"/>
            </w:tcMar>
            <w:vAlign w:val="center"/>
          </w:tcPr>
          <w:p>
            <w:pPr>
              <w:spacing w:after="0" w:line="259" w:lineRule="auto"/>
            </w:pPr>
            <w:r>
              <w:rPr>
                <w:rFonts w:ascii="Calibri" w:hAnsi="Calibri"/>
                <w:color w:val="1B2638"/>
                <w:sz w:val="17"/>
              </w:rPr>
              <w:t>Switch to Custom Lab; snapshot configuration; suppress canonical PASS unless the normalized set exactly matches a preset.</w:t>
            </w:r>
          </w:p>
        </w:tc>
      </w:tr>
      <w:tr>
        <w:trPr>
          <w:cantSplit w:val="true"/>
        </w:trPr>
        <w:tc>
          <w:tcPr>
            <w:tcW w:type="dxa" w:w="3100"/>
            <w:tcMar>
              <w:top w:w="85" w:type="dxa"/>
              <w:start w:w="120" w:type="dxa"/>
              <w:bottom w:w="85" w:type="dxa"/>
              <w:end w:w="120" w:type="dxa"/>
            </w:tcMar>
            <w:vAlign w:val="center"/>
          </w:tcPr>
          <w:p>
            <w:pPr>
              <w:spacing w:after="0" w:line="259" w:lineRule="auto"/>
            </w:pPr>
            <w:r>
              <w:rPr>
                <w:rFonts w:ascii="Calibri" w:hAnsi="Calibri"/>
                <w:color w:val="1B2638"/>
                <w:sz w:val="17"/>
              </w:rPr>
              <w:t>Run active</w:t>
            </w:r>
          </w:p>
        </w:tc>
        <w:tc>
          <w:tcPr>
            <w:tcW w:type="dxa" w:w="6260"/>
            <w:tcMar>
              <w:top w:w="85" w:type="dxa"/>
              <w:start w:w="120" w:type="dxa"/>
              <w:bottom w:w="85" w:type="dxa"/>
              <w:end w:w="120" w:type="dxa"/>
            </w:tcMar>
            <w:vAlign w:val="center"/>
          </w:tcPr>
          <w:p>
            <w:pPr>
              <w:spacing w:after="0" w:line="259" w:lineRule="auto"/>
            </w:pPr>
            <w:r>
              <w:rPr>
                <w:rFonts w:ascii="Calibri" w:hAnsi="Calibri"/>
                <w:color w:val="1B2638"/>
                <w:sz w:val="17"/>
              </w:rPr>
              <w:t>Configuration, provider, prompt, fixture hashes, and desired/effective evil state are locked.</w:t>
            </w:r>
          </w:p>
        </w:tc>
      </w:tr>
      <w:tr>
        <w:trPr>
          <w:cantSplit w:val="true"/>
        </w:trPr>
        <w:tc>
          <w:tcPr>
            <w:tcW w:type="dxa" w:w="3100"/>
            <w:tcMar>
              <w:top w:w="85" w:type="dxa"/>
              <w:start w:w="120" w:type="dxa"/>
              <w:bottom w:w="85" w:type="dxa"/>
              <w:end w:w="120" w:type="dxa"/>
            </w:tcMar>
            <w:vAlign w:val="center"/>
          </w:tcPr>
          <w:p>
            <w:pPr>
              <w:spacing w:after="0" w:line="259" w:lineRule="auto"/>
            </w:pPr>
            <w:r>
              <w:rPr>
                <w:rFonts w:ascii="Calibri" w:hAnsi="Calibri"/>
                <w:color w:val="1B2638"/>
                <w:sz w:val="17"/>
              </w:rPr>
              <w:t>External instruction/addendum override</w:t>
            </w:r>
          </w:p>
        </w:tc>
        <w:tc>
          <w:tcPr>
            <w:tcW w:type="dxa" w:w="6260"/>
            <w:tcMar>
              <w:top w:w="85" w:type="dxa"/>
              <w:start w:w="120" w:type="dxa"/>
              <w:bottom w:w="85" w:type="dxa"/>
              <w:end w:w="120" w:type="dxa"/>
            </w:tcMar>
            <w:vAlign w:val="center"/>
          </w:tcPr>
          <w:p>
            <w:pPr>
              <w:spacing w:after="0" w:line="259" w:lineRule="auto"/>
            </w:pPr>
            <w:r>
              <w:rPr>
                <w:rFonts w:ascii="Calibri" w:hAnsi="Calibri"/>
                <w:color w:val="1B2638"/>
                <w:sz w:val="17"/>
              </w:rPr>
              <w:t>Stage mode disables it or displays a persistent override banner and records content hashes, never raw host paths.</w:t>
            </w:r>
          </w:p>
        </w:tc>
      </w:tr>
      <w:tr>
        <w:trPr>
          <w:cantSplit w:val="true"/>
        </w:trPr>
        <w:tc>
          <w:tcPr>
            <w:tcW w:type="dxa" w:w="3100"/>
            <w:tcMar>
              <w:top w:w="85" w:type="dxa"/>
              <w:start w:w="120" w:type="dxa"/>
              <w:bottom w:w="85" w:type="dxa"/>
              <w:end w:w="120" w:type="dxa"/>
            </w:tcMar>
            <w:vAlign w:val="center"/>
          </w:tcPr>
          <w:p>
            <w:pPr>
              <w:spacing w:after="0" w:line="259" w:lineRule="auto"/>
            </w:pPr>
            <w:r>
              <w:rPr>
                <w:rFonts w:ascii="Calibri" w:hAnsi="Calibri"/>
                <w:color w:val="1B2638"/>
                <w:sz w:val="17"/>
              </w:rPr>
              <w:t>Reset</w:t>
            </w:r>
          </w:p>
        </w:tc>
        <w:tc>
          <w:tcPr>
            <w:tcW w:type="dxa" w:w="6260"/>
            <w:tcMar>
              <w:top w:w="85" w:type="dxa"/>
              <w:start w:w="120" w:type="dxa"/>
              <w:bottom w:w="85" w:type="dxa"/>
              <w:end w:w="120" w:type="dxa"/>
            </w:tcMar>
            <w:vAlign w:val="center"/>
          </w:tcPr>
          <w:p>
            <w:pPr>
              <w:spacing w:after="0" w:line="259" w:lineRule="auto"/>
            </w:pPr>
            <w:r>
              <w:rPr>
                <w:rFonts w:ascii="Calibri" w:hAnsi="Calibri"/>
                <w:color w:val="1B2638"/>
                <w:sz w:val="17"/>
              </w:rPr>
              <w:t>Cancel, release checkpoint, dispose model/MCP/tools, finish artifact/cleanup, then clear projections.</w:t>
            </w:r>
          </w:p>
        </w:tc>
      </w:tr>
    </w:tbl>
    <w:sectPr w:rsidR="00FC693F" w:rsidRPr="0006063C" w:rsidSect="00034616">
      <w:headerReference w:type="default" r:id="rId9"/>
      <w:footerReference w:type="default" r:id="rId10"/>
      <w:pgSz w:w="12240" w:h="15840"/>
      <w:pgMar w:top="1152" w:right="1440" w:bottom="1152"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B7A"/>
        <w:sz w:val="18"/>
      </w:rPr>
      <w:t xml:space="preserve">Page </w:t>
    </w:r>
    <w:fldSimple w:instr="PAGE">
      <w:r>
        <w:rPr>
          <w:color w:val="5F6B7A"/>
          <w:sz w:val="18"/>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6" w:space="4" w:color="D8DEE7"/>
      </w:pBdr>
    </w:pPr>
    <w:r>
      <w:rPr>
        <w:rFonts w:ascii="Calibri" w:hAnsi="Calibri"/>
        <w:b/>
        <w:color w:val="5F6B7A"/>
        <w:sz w:val="17"/>
      </w:rPr>
      <w:t>GATEKEEPER DEMO  |  DESIGN PROPOSAL V2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color w:val="1B26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365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ascii="Calibri" w:hAnsi="Calibri"/>
      <w:i w:val="0"/>
      <w:iCs/>
      <w:color w:val="5F6B7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AgentEvalHQ/AgentEval/tree/345d5b62766d556f5619c1d41d1e31946615e586/samples/AgentEval.PartnerDeskDemo" TargetMode="External"/><Relationship Id="rId12" Type="http://schemas.openxmlformats.org/officeDocument/2006/relationships/image" Target="media/image1.png"/><Relationship Id="rId13" Type="http://schemas.openxmlformats.org/officeDocument/2006/relationships/hyperlink" Target="https://github.com/AgentEvalHQ/AgentEval/blob/345d5b62766d556f5619c1d41d1e31946615e586/samples/AgentEval.PartnerDeskDemo/README.md" TargetMode="External"/><Relationship Id="rId14" Type="http://schemas.openxmlformats.org/officeDocument/2006/relationships/hyperlink" Target="https://github.com/AgentEvalHQ/AgentEval/tree/345d5b62766d556f5619c1d41d1e31946615e586/samples/AgentEval.PartnerDeskDemo.Evals" TargetMode="External"/><Relationship Id="rId15" Type="http://schemas.openxmlformats.org/officeDocument/2006/relationships/hyperlink" Target="https://github.com/AgentEvalHQ/AgentEval/tree/345d5b62766d556f5619c1d41d1e31946615e586/samples/AgentEval.PartnerDeskDemo.Tests" TargetMode="External"/><Relationship Id="rId16" Type="http://schemas.openxmlformats.org/officeDocument/2006/relationships/hyperlink" Target="https://github.com/AgentEvalHQ/AgentEval/blob/345d5b62766d556f5619c1d41d1e31946615e586/Directory.Packages.props" TargetMode="External"/><Relationship Id="rId17" Type="http://schemas.openxmlformats.org/officeDocument/2006/relationships/hyperlink" Target="https://github.com/AgentEvalHQ/AgentEval/blob/345d5b62766d556f5619c1d41d1e31946615e586/LICENSE" TargetMode="External"/><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GatekeeperDemo - Revised Design and Implementation Proposal</dc:title>
  <dc:subject>Audience-first Avalonia visualization of the AgentEval PartnerDesk Gatekeeper demo</dc:subject>
  <dc:creator>Codex</dc:creator>
  <cp:keywords>AgentEval, Gatekeeper, Avalonia, PartnerDesk, MCP, security visualization</cp:keywords>
  <dc:description>generated by python-docx</dc:description>
  <cp:lastModifiedBy/>
  <cp:revision>1</cp:revision>
  <dcterms:created xsi:type="dcterms:W3CDTF">2013-12-23T23:15:00Z</dcterms:created>
  <dcterms:modified xsi:type="dcterms:W3CDTF">2013-12-23T23:15:00Z</dcterms:modified>
  <cp:category/>
</cp:coreProperties>
</file>