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440" w:after="100"/>
      </w:pPr>
      <w:r>
        <w:rPr>
          <w:rFonts w:ascii="Calibri" w:hAnsi="Calibri"/>
          <w:b/>
          <w:color w:val="2E74B5"/>
          <w:sz w:val="20"/>
        </w:rPr>
        <w:t>TECHNICAL DESIGN PROPOSAL</w:t>
      </w:r>
    </w:p>
    <w:p>
      <w:pPr>
        <w:pStyle w:val="Title"/>
        <w:keepNext/>
        <w:widowControl/>
      </w:pPr>
      <w:r>
        <w:rPr>
          <w:rFonts w:ascii="Calibri" w:hAnsi="Calibri"/>
          <w:b/>
          <w:color w:val="17365D"/>
          <w:sz w:val="60"/>
        </w:rPr>
        <w:t>GatekeeperDemo</w:t>
      </w:r>
    </w:p>
    <w:p>
      <w:pPr>
        <w:pStyle w:val="Subtitle"/>
        <w:widowControl/>
      </w:pPr>
      <w:r>
        <w:rPr>
          <w:rFonts w:ascii="Calibri" w:hAnsi="Calibri"/>
          <w:color w:val="5F6B7A"/>
          <w:sz w:val="30"/>
        </w:rPr>
        <w:t>An interactive Avalonia control room for the AgentEval PartnerDesk security story</w:t>
      </w:r>
    </w:p>
    <w:p>
      <w:pPr>
        <w:spacing w:before="160" w:after="360"/>
        <w:widowControl/>
        <w:pBdr>
          <w:bottom w:val="single" w:sz="18" w:space="8" w:color="2E74B5"/>
        </w:pBdr>
      </w:pPr>
      <w:r>
        <w:rPr>
          <w:rFonts w:ascii="Calibri" w:hAnsi="Calibri"/>
          <w:color w:val="5F6B7A"/>
          <w:sz w:val="21"/>
        </w:rPr>
        <w:t>Prepared for design discussion  |  25 August 2026</w:t>
      </w:r>
    </w:p>
    <w:p>
      <w:pPr>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RECOMMENDATION  </w:t>
      </w:r>
      <w:r>
        <w:rPr>
          <w:rFonts w:ascii="Calibri" w:hAnsi="Calibri"/>
          <w:color w:val="1B2638"/>
          <w:sz w:val="21"/>
        </w:rPr>
        <w:t>Import the upstream demo, evaluation sibling, and deterministic tests first; prove the offline four-phase baseline; then add a semantic event layer and an Avalonia UI that drives the same runner in-process. Preserve PhaseOutcome and the effect ledger as the oracle. The visualization must never become the evidence source.</w:t>
      </w:r>
    </w:p>
    <w:p>
      <w:pPr>
        <w:widowControl/>
      </w:pPr>
      <w:r>
        <w:rPr>
          <w:rFonts w:ascii="Calibri" w:hAnsi="Calibri"/>
          <w:color w:val="1B2638"/>
          <w:sz w:val="22"/>
        </w:rPr>
        <w:t>The proposed product is a two-column “security control room.” The left column explains the system and shows information moving between the compliance officer, PartnerDesk, the third-party MCP, the partner database, email, and Gatekeeper. The right column is a live vertical AI Events timeline with expandable payloads, safe diagnostics, and synchronized selection.</w:t>
      </w:r>
    </w:p>
    <w:p>
      <w:pPr>
        <w:widowControl/>
      </w:pPr>
      <w:r>
        <w:rPr>
          <w:rFonts w:ascii="Calibri" w:hAnsi="Calibri"/>
          <w:color w:val="1B2638"/>
          <w:sz w:val="22"/>
        </w:rPr>
        <w:t>This document is intentionally a proposal, not an implementation. The local GatekeeperDemo repository is empty apart from Git metadata, so no demo source or UI code has been imported yet.</w:t>
      </w:r>
    </w:p>
    <w:p>
      <w:pPr>
        <w:widowControl/>
        <w:spacing w:before="360"/>
      </w:pPr>
      <w:r>
        <w:rPr>
          <w:rFonts w:ascii="Calibri" w:hAnsi="Calibri"/>
          <w:b/>
          <w:color w:val="5F6B7A"/>
          <w:sz w:val="20"/>
        </w:rPr>
        <w:t>Source snapshot</w:t>
      </w:r>
    </w:p>
    <w:p>
      <w:pPr>
        <w:widowControl/>
        <w:spacing w:after="0"/>
      </w:pPr>
      <w:r>
        <w:rPr>
          <w:rFonts w:ascii="Calibri" w:hAnsi="Calibri"/>
          <w:color w:val="5F6B7A"/>
          <w:sz w:val="19"/>
        </w:rPr>
        <w:t xml:space="preserve">AgentEval main at commit 345d5b62766d556f5619c1d41d1e31946615e586 (22 Aug 2026). </w:t>
      </w:r>
      <w:hyperlink r:id="rId11">
        <w:r>
          <w:rPr>
            <w:color w:val="2E74B5"/>
            <w:u w:val="single"/>
            <w:rFonts w:ascii="Calibri" w:hAnsi="Calibri"/>
          </w:rPr>
          <w:t>Open the immutable snapshot</w:t>
        </w:r>
      </w:hyperlink>
    </w:p>
    <w:p>
      <w:pPr>
        <w:widowControl/>
      </w:pPr>
      <w:r>
        <w:br w:type="page"/>
      </w:r>
    </w:p>
    <w:p>
      <w:pPr>
        <w:pStyle w:val="Heading1"/>
        <w:keepNext/>
        <w:widowControl/>
      </w:pPr>
      <w:r>
        <w:t>1. Executive proposal</w:t>
      </w:r>
    </w:p>
    <w:p>
      <w:pPr>
        <w:spacing w:before="120" w:after="200" w:line="283" w:lineRule="auto"/>
        <w:ind w:left="173" w:right="115"/>
        <w:shd w:fill="E8F0FA" w:val="clear"/>
        <w:widowControl/>
        <w:pBdr>
          <w:left w:val="single" w:sz="28" w:space="8" w:color="2E74B5"/>
        </w:pBdr>
      </w:pPr>
      <w:r>
        <w:rPr>
          <w:rFonts w:ascii="Calibri" w:hAnsi="Calibri"/>
          <w:b/>
          <w:color w:val="2E74B5"/>
          <w:sz w:val="20"/>
        </w:rPr>
        <w:t xml:space="preserve">NORTH STAR  </w:t>
      </w:r>
      <w:r>
        <w:rPr>
          <w:rFonts w:ascii="Calibri" w:hAnsi="Calibri"/>
          <w:color w:val="1B2638"/>
          <w:sz w:val="21"/>
        </w:rPr>
        <w:t>An audience member should be able to answer three questions at any moment: What is moving? Who trusted it? What did Gatekeeper allow, block, withhold, or contain?</w:t>
      </w:r>
    </w:p>
    <w:p>
      <w:pPr>
        <w:widowControl/>
      </w:pPr>
      <w:r>
        <w:rPr>
          <w:rFonts w:ascii="Calibri" w:hAnsi="Calibri"/>
          <w:color w:val="1B2638"/>
          <w:sz w:val="22"/>
        </w:rPr>
        <w:t>The GUI should tell the same four-phase story as the upstream console, but make the security boundaries visible. It should retain the exact question, the same genuine MCP child-process boundary, the same faked local tools, the same gates, and the same deterministic oracle. UI controls change configuration; they do not substitute a second scenario implementation.</w:t>
      </w:r>
    </w:p>
    <w:p>
      <w:pPr>
        <w:widowControl/>
      </w:pPr>
      <w:r>
        <w:rPr>
          <w:rFonts w:ascii="Calibri" w:hAnsi="Calibri"/>
          <w:color w:val="1B2638"/>
          <w:sz w:val="22"/>
        </w:rPr>
        <w:t>The first delivery should preserve the upstream phase presets. A Custom Lab mode can then expose Gatekeeper globally or gate-by-gate, clearly marking combinations that fall outside the original phase oracle. The evaluation sibling becomes a second workspace for repeated arms, proportions, Wilson intervals, and run-level evidence.</w:t>
      </w:r>
    </w:p>
    <w:p>
      <w:pPr>
        <w:pStyle w:val="Heading2"/>
        <w:keepNext/>
        <w:widowControl/>
      </w:pPr>
      <w:r>
        <w:t>Recommended scope</w:t>
      </w:r>
    </w:p>
    <w:p>
      <w:pPr>
        <w:pStyle w:val="ListBullet"/>
        <w:widowControl/>
        <w:spacing w:after="80" w:line="290" w:lineRule="auto"/>
        <w:ind w:left="540" w:hanging="279"/>
      </w:pPr>
      <w:r>
        <w:rPr>
          <w:rFonts w:ascii="Calibri" w:hAnsi="Calibri"/>
          <w:color w:val="1B2638"/>
          <w:sz w:val="22"/>
        </w:rPr>
        <w:t>One desktop Avalonia application, optimized for a projected stage but usable on ordinary Windows, macOS, and Linux desktops.</w:t>
      </w:r>
    </w:p>
    <w:p>
      <w:pPr>
        <w:pStyle w:val="ListBullet"/>
        <w:widowControl/>
        <w:spacing w:after="80" w:line="290" w:lineRule="auto"/>
        <w:ind w:left="540" w:hanging="279"/>
      </w:pPr>
      <w:r>
        <w:rPr>
          <w:rFonts w:ascii="Calibri" w:hAnsi="Calibri"/>
          <w:color w:val="1B2638"/>
          <w:sz w:val="22"/>
        </w:rPr>
        <w:t>Two primary workspaces: Live Demo and Experiment. The Live Demo is the story; Experiment is the stochastic measurement surface.</w:t>
      </w:r>
    </w:p>
    <w:p>
      <w:pPr>
        <w:pStyle w:val="ListBullet"/>
        <w:widowControl/>
        <w:spacing w:after="80" w:line="290" w:lineRule="auto"/>
        <w:ind w:left="540" w:hanging="279"/>
      </w:pPr>
      <w:r>
        <w:rPr>
          <w:rFonts w:ascii="Calibri" w:hAnsi="Calibri"/>
          <w:color w:val="1B2638"/>
          <w:sz w:val="22"/>
        </w:rPr>
        <w:t>Three execution presentations: Real time, Presentation pace, and Step. Hidden chain-of-thought is never displayed; “Agent working” means a model request is outstanding.</w:t>
      </w:r>
    </w:p>
    <w:p>
      <w:pPr>
        <w:pStyle w:val="ListBullet"/>
        <w:widowControl/>
        <w:spacing w:after="80" w:line="290" w:lineRule="auto"/>
        <w:ind w:left="540" w:hanging="279"/>
      </w:pPr>
      <w:r>
        <w:rPr>
          <w:rFonts w:ascii="Calibri" w:hAnsi="Calibri"/>
          <w:color w:val="1B2638"/>
          <w:sz w:val="22"/>
        </w:rPr>
        <w:t>A hard-coded scenario topology with stable IDs. PartnerDesk is one agent with tools, not a MAF workflow, so a workflow-reflection graph would be misleading.</w:t>
      </w:r>
    </w:p>
    <w:p>
      <w:pPr>
        <w:pStyle w:val="ListBullet"/>
        <w:widowControl/>
        <w:spacing w:after="80" w:line="290" w:lineRule="auto"/>
        <w:ind w:left="540" w:hanging="279"/>
      </w:pPr>
      <w:r>
        <w:rPr>
          <w:rFonts w:ascii="Calibri" w:hAnsi="Calibri"/>
          <w:color w:val="1B2638"/>
          <w:sz w:val="22"/>
        </w:rPr>
        <w:t>No console-text parsing. The UI consumes typed events and calls PartnerDeskRunner and PartnerDeskEvaluator directly.</w:t>
      </w:r>
    </w:p>
    <w:p>
      <w:pPr>
        <w:pStyle w:val="Heading2"/>
        <w:keepNext/>
        <w:widowControl/>
      </w:pPr>
      <w:r>
        <w:t>What success looks like</w:t>
      </w:r>
    </w:p>
    <w:p>
      <w:pPr>
        <w:pStyle w:val="ListNumber"/>
        <w:widowControl/>
        <w:numPr>
          <w:ilvl w:val="0"/>
          <w:numId w:val="10"/>
        </w:numPr>
        <w:spacing w:after="80" w:line="290" w:lineRule="auto"/>
        <w:ind w:left="540" w:hanging="279"/>
      </w:pPr>
      <w:r>
        <w:rPr>
          <w:rFonts w:ascii="Calibri" w:hAnsi="Calibri"/>
          <w:color w:val="1B2638"/>
          <w:sz w:val="22"/>
        </w:rPr>
        <w:t>Phase 2 visibly carries the hostile MCP result into the agent, then highlights the bulk database read and external email as unsafe executed effects.</w:t>
      </w:r>
    </w:p>
    <w:p>
      <w:pPr>
        <w:pStyle w:val="ListNumber"/>
        <w:widowControl/>
        <w:numPr>
          <w:ilvl w:val="0"/>
          <w:numId w:val="10"/>
        </w:numPr>
        <w:spacing w:after="80" w:line="290" w:lineRule="auto"/>
        <w:ind w:left="540" w:hanging="279"/>
      </w:pPr>
      <w:r>
        <w:rPr>
          <w:rFonts w:ascii="Calibri" w:hAnsi="Calibri"/>
          <w:color w:val="1B2638"/>
          <w:sz w:val="22"/>
        </w:rPr>
        <w:t>Phase 3 shows the same unsafe intent in red up to the tool gates, then stops it at the shield; downstream tool-effect nodes remain untouched.</w:t>
      </w:r>
    </w:p>
    <w:p>
      <w:pPr>
        <w:pStyle w:val="ListNumber"/>
        <w:widowControl/>
        <w:numPr>
          <w:ilvl w:val="0"/>
          <w:numId w:val="10"/>
        </w:numPr>
        <w:spacing w:after="80" w:line="290" w:lineRule="auto"/>
        <w:ind w:left="540" w:hanging="279"/>
      </w:pPr>
      <w:r>
        <w:rPr>
          <w:rFonts w:ascii="Calibri" w:hAnsi="Calibri"/>
          <w:color w:val="1B2638"/>
          <w:sz w:val="22"/>
        </w:rPr>
        <w:t>Phase 4 stops the hostile result at result admission, shows a distinct operator containment step, and refuses the retry before the MCP call.</w:t>
      </w:r>
    </w:p>
    <w:p>
      <w:pPr>
        <w:pStyle w:val="ListNumber"/>
        <w:widowControl/>
        <w:numPr>
          <w:ilvl w:val="0"/>
          <w:numId w:val="10"/>
        </w:numPr>
        <w:spacing w:after="80" w:line="290" w:lineRule="auto"/>
        <w:ind w:left="540" w:hanging="279"/>
      </w:pPr>
      <w:r>
        <w:rPr>
          <w:rFonts w:ascii="Calibri" w:hAnsi="Calibri"/>
          <w:color w:val="1B2638"/>
          <w:sz w:val="22"/>
        </w:rPr>
        <w:t>The event timeline, graph, payload inspector, PhaseOutcome, and evaluation metrics agree for every run.</w:t>
      </w:r>
    </w:p>
    <w:p>
      <w:pPr>
        <w:pStyle w:val="Heading1"/>
        <w:keepNext/>
        <w:widowControl/>
      </w:pPr>
      <w:r>
        <w:t>2. What the two source projects already provide</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600"/>
        <w:gridCol w:w="3660"/>
        <w:gridCol w:w="4100"/>
      </w:tblGrid>
      <w:tr>
        <w:trPr>
          <w:tblHeader w:val="true"/>
          <w:cantSplit w:val="true"/>
        </w:trPr>
        <w:tc>
          <w:tcPr>
            <w:tcW w:type="dxa" w:w="1600"/>
            <w:tcMar>
              <w:top w:w="80" w:type="dxa"/>
              <w:start w:w="120" w:type="dxa"/>
              <w:bottom w:w="80" w:type="dxa"/>
              <w:end w:w="120" w:type="dxa"/>
            </w:tcMar>
            <w:vAlign w:val="center"/>
            <w:shd w:fill="E8F0FA" w:val="clear"/>
          </w:tcPr>
          <w:p>
            <w:pPr>
              <w:spacing w:after="0"/>
              <w:jc w:val="left"/>
            </w:pPr>
            <w:r>
              <w:rPr>
                <w:rFonts w:ascii="Calibri" w:hAnsi="Calibri"/>
                <w:b/>
                <w:color w:val="17365D"/>
                <w:sz w:val="19"/>
              </w:rPr>
              <w:t>Source</w:t>
            </w:r>
          </w:p>
        </w:tc>
        <w:tc>
          <w:tcPr>
            <w:tcW w:type="dxa" w:w="3660"/>
            <w:tcMar>
              <w:top w:w="80" w:type="dxa"/>
              <w:start w:w="120" w:type="dxa"/>
              <w:bottom w:w="80" w:type="dxa"/>
              <w:end w:w="120" w:type="dxa"/>
            </w:tcMar>
            <w:vAlign w:val="center"/>
            <w:shd w:fill="E8F0FA" w:val="clear"/>
          </w:tcPr>
          <w:p>
            <w:pPr>
              <w:spacing w:after="0"/>
              <w:jc w:val="left"/>
            </w:pPr>
            <w:r>
              <w:rPr>
                <w:rFonts w:ascii="Calibri" w:hAnsi="Calibri"/>
                <w:b/>
                <w:color w:val="17365D"/>
                <w:sz w:val="19"/>
              </w:rPr>
              <w:t>Observed strength</w:t>
            </w:r>
          </w:p>
        </w:tc>
        <w:tc>
          <w:tcPr>
            <w:tcW w:type="dxa" w:w="4100"/>
            <w:tcMar>
              <w:top w:w="80" w:type="dxa"/>
              <w:start w:w="120" w:type="dxa"/>
              <w:bottom w:w="80" w:type="dxa"/>
              <w:end w:w="120" w:type="dxa"/>
            </w:tcMar>
            <w:vAlign w:val="center"/>
            <w:shd w:fill="E8F0FA" w:val="clear"/>
          </w:tcPr>
          <w:p>
            <w:pPr>
              <w:spacing w:after="0"/>
              <w:jc w:val="left"/>
            </w:pPr>
            <w:r>
              <w:rPr>
                <w:rFonts w:ascii="Calibri" w:hAnsi="Calibri"/>
                <w:b/>
                <w:color w:val="17365D"/>
                <w:sz w:val="19"/>
              </w:rPr>
              <w:t>Proposal consequence</w:t>
            </w:r>
          </w:p>
        </w:tc>
      </w:tr>
      <w:tr>
        <w:trPr>
          <w:cantSplit w:val="true"/>
        </w:trPr>
        <w:tc>
          <w:tcPr>
            <w:tcW w:type="dxa" w:w="1600"/>
          </w:tcPr>
          <w:p>
            <w:pPr>
              <w:spacing w:after="0" w:line="259" w:lineRule="auto"/>
            </w:pPr>
            <w:r>
              <w:rPr>
                <w:rFonts w:ascii="Calibri" w:hAnsi="Calibri"/>
                <w:color w:val="1B2638"/>
                <w:sz w:val="18"/>
              </w:rPr>
              <w:t>PartnerDeskDemo</w:t>
            </w:r>
          </w:p>
        </w:tc>
        <w:tc>
          <w:tcPr>
            <w:tcW w:type="dxa" w:w="3660"/>
          </w:tcPr>
          <w:p>
            <w:pPr>
              <w:spacing w:after="0" w:line="259" w:lineRule="auto"/>
            </w:pPr>
            <w:r>
              <w:rPr>
                <w:rFonts w:ascii="Calibri" w:hAnsi="Calibri"/>
                <w:color w:val="1B2638"/>
                <w:sz w:val="18"/>
              </w:rPr>
              <w:t>One ChatClientAgent; real stdio MCP child; faked database and email; four phase presets.</w:t>
            </w:r>
          </w:p>
        </w:tc>
        <w:tc>
          <w:tcPr>
            <w:tcW w:type="dxa" w:w="4100"/>
          </w:tcPr>
          <w:p>
            <w:pPr>
              <w:spacing w:after="0" w:line="259" w:lineRule="auto"/>
            </w:pPr>
            <w:r>
              <w:rPr>
                <w:rFonts w:ascii="Calibri" w:hAnsi="Calibri"/>
                <w:color w:val="1B2638"/>
                <w:sz w:val="18"/>
              </w:rPr>
              <w:t>Keep the scenario and boundaries intact.</w:t>
            </w:r>
          </w:p>
        </w:tc>
      </w:tr>
      <w:tr>
        <w:trPr>
          <w:cantSplit w:val="true"/>
        </w:trPr>
        <w:tc>
          <w:tcPr>
            <w:tcW w:type="dxa" w:w="1600"/>
          </w:tcPr>
          <w:p>
            <w:pPr>
              <w:spacing w:after="0" w:line="259" w:lineRule="auto"/>
            </w:pPr>
            <w:r>
              <w:rPr>
                <w:rFonts w:ascii="Calibri" w:hAnsi="Calibri"/>
                <w:color w:val="1B2638"/>
                <w:sz w:val="18"/>
              </w:rPr>
              <w:t>PartnerDeskDemo.Evals</w:t>
            </w:r>
          </w:p>
        </w:tc>
        <w:tc>
          <w:tcPr>
            <w:tcW w:type="dxa" w:w="3660"/>
          </w:tcPr>
          <w:p>
            <w:pPr>
              <w:spacing w:after="0" w:line="259" w:lineRule="auto"/>
            </w:pPr>
            <w:r>
              <w:rPr>
                <w:rFonts w:ascii="Calibri" w:hAnsi="Calibri"/>
                <w:color w:val="1B2638"/>
                <w:sz w:val="18"/>
              </w:rPr>
              <w:t>Sequential N-run arms; deterministic metrics; Wilson 95% intervals; optional shadow-only judge.</w:t>
            </w:r>
          </w:p>
        </w:tc>
        <w:tc>
          <w:tcPr>
            <w:tcW w:type="dxa" w:w="4100"/>
          </w:tcPr>
          <w:p>
            <w:pPr>
              <w:spacing w:after="0" w:line="259" w:lineRule="auto"/>
            </w:pPr>
            <w:r>
              <w:rPr>
                <w:rFonts w:ascii="Calibri" w:hAnsi="Calibri"/>
                <w:color w:val="1B2638"/>
                <w:sz w:val="18"/>
              </w:rPr>
              <w:t>Expose as a reusable service and Experiment workspace.</w:t>
            </w:r>
          </w:p>
        </w:tc>
      </w:tr>
      <w:tr>
        <w:trPr>
          <w:cantSplit w:val="true"/>
        </w:trPr>
        <w:tc>
          <w:tcPr>
            <w:tcW w:type="dxa" w:w="1600"/>
          </w:tcPr>
          <w:p>
            <w:pPr>
              <w:spacing w:after="0" w:line="259" w:lineRule="auto"/>
            </w:pPr>
            <w:r>
              <w:rPr>
                <w:rFonts w:ascii="Calibri" w:hAnsi="Calibri"/>
                <w:color w:val="1B2638"/>
                <w:sz w:val="18"/>
              </w:rPr>
              <w:t>PartnerDeskDemo.Tests</w:t>
            </w:r>
          </w:p>
        </w:tc>
        <w:tc>
          <w:tcPr>
            <w:tcW w:type="dxa" w:w="3660"/>
          </w:tcPr>
          <w:p>
            <w:pPr>
              <w:spacing w:after="0" w:line="259" w:lineRule="auto"/>
            </w:pPr>
            <w:r>
              <w:rPr>
                <w:rFonts w:ascii="Calibri" w:hAnsi="Calibri"/>
                <w:color w:val="1B2638"/>
                <w:sz w:val="18"/>
              </w:rPr>
              <w:t>Phase, boundary, hardening, manifest, and aggregation tests.</w:t>
            </w:r>
          </w:p>
        </w:tc>
        <w:tc>
          <w:tcPr>
            <w:tcW w:type="dxa" w:w="4100"/>
          </w:tcPr>
          <w:p>
            <w:pPr>
              <w:spacing w:after="0" w:line="259" w:lineRule="auto"/>
            </w:pPr>
            <w:r>
              <w:rPr>
                <w:rFonts w:ascii="Calibri" w:hAnsi="Calibri"/>
                <w:color w:val="1B2638"/>
                <w:sz w:val="18"/>
              </w:rPr>
              <w:t>Import with the baseline; treat as non-negotiable invariants.</w:t>
            </w:r>
          </w:p>
        </w:tc>
      </w:tr>
      <w:tr>
        <w:trPr>
          <w:cantSplit w:val="true"/>
        </w:trPr>
        <w:tc>
          <w:tcPr>
            <w:tcW w:type="dxa" w:w="1600"/>
          </w:tcPr>
          <w:p>
            <w:pPr>
              <w:spacing w:after="0" w:line="259" w:lineRule="auto"/>
            </w:pPr>
            <w:r>
              <w:rPr>
                <w:rFonts w:ascii="Calibri" w:hAnsi="Calibri"/>
                <w:color w:val="1B2638"/>
                <w:sz w:val="18"/>
              </w:rPr>
              <w:t>MAFARticleComposer</w:t>
            </w:r>
          </w:p>
        </w:tc>
        <w:tc>
          <w:tcPr>
            <w:tcW w:type="dxa" w:w="3660"/>
          </w:tcPr>
          <w:p>
            <w:pPr>
              <w:spacing w:after="0" w:line="259" w:lineRule="auto"/>
            </w:pPr>
            <w:r>
              <w:rPr>
                <w:rFonts w:ascii="Calibri" w:hAnsi="Calibri"/>
                <w:color w:val="1B2638"/>
                <w:sz w:val="18"/>
              </w:rPr>
              <w:t>Avalonia graph/log split, semantic tones, event reduction, safe diagnostics, auto-follow, and stable IDs.</w:t>
            </w:r>
          </w:p>
        </w:tc>
        <w:tc>
          <w:tcPr>
            <w:tcW w:type="dxa" w:w="4100"/>
          </w:tcPr>
          <w:p>
            <w:pPr>
              <w:spacing w:after="0" w:line="259" w:lineRule="auto"/>
            </w:pPr>
            <w:r>
              <w:rPr>
                <w:rFonts w:ascii="Calibri" w:hAnsi="Calibri"/>
                <w:color w:val="1B2638"/>
                <w:sz w:val="18"/>
              </w:rPr>
              <w:t>Reuse patterns selectively; do not copy article/workflow domain code.</w:t>
            </w:r>
          </w:p>
        </w:tc>
      </w:tr>
      <w:tr>
        <w:trPr>
          <w:cantSplit w:val="true"/>
        </w:trPr>
        <w:tc>
          <w:tcPr>
            <w:tcW w:type="dxa" w:w="1600"/>
          </w:tcPr>
          <w:p>
            <w:pPr>
              <w:spacing w:after="0" w:line="259" w:lineRule="auto"/>
            </w:pPr>
            <w:r>
              <w:rPr>
                <w:rFonts w:ascii="Calibri" w:hAnsi="Calibri"/>
                <w:color w:val="1B2638"/>
                <w:sz w:val="18"/>
              </w:rPr>
              <w:t>GatekeeperDemo</w:t>
            </w:r>
          </w:p>
        </w:tc>
        <w:tc>
          <w:tcPr>
            <w:tcW w:type="dxa" w:w="3660"/>
          </w:tcPr>
          <w:p>
            <w:pPr>
              <w:spacing w:after="0" w:line="259" w:lineRule="auto"/>
            </w:pPr>
            <w:r>
              <w:rPr>
                <w:rFonts w:ascii="Calibri" w:hAnsi="Calibri"/>
                <w:color w:val="1B2638"/>
                <w:sz w:val="18"/>
              </w:rPr>
              <w:t>Empty repository (only .git).</w:t>
            </w:r>
          </w:p>
        </w:tc>
        <w:tc>
          <w:tcPr>
            <w:tcW w:type="dxa" w:w="4100"/>
          </w:tcPr>
          <w:p>
            <w:pPr>
              <w:spacing w:after="0" w:line="259" w:lineRule="auto"/>
            </w:pPr>
            <w:r>
              <w:rPr>
                <w:rFonts w:ascii="Calibri" w:hAnsi="Calibri"/>
                <w:color w:val="1B2638"/>
                <w:sz w:val="18"/>
              </w:rPr>
              <w:t>Create a clean solution and preserve provenance from day one.</w:t>
            </w:r>
          </w:p>
        </w:tc>
      </w:tr>
    </w:tbl>
    <w:p>
      <w:pPr>
        <w:pStyle w:val="Heading2"/>
        <w:keepNext/>
        <w:widowControl/>
      </w:pPr>
      <w:r>
        <w:t>PartnerDesk’s actual runtime story</w:t>
      </w:r>
    </w:p>
    <w:p>
      <w:pPr>
        <w:widowControl/>
      </w:pPr>
      <w:r>
        <w:rPr>
          <w:rFonts w:ascii="Calibri" w:hAnsi="Calibri"/>
          <w:color w:val="1B2638"/>
          <w:sz w:val="22"/>
        </w:rPr>
        <w:t>The agent receives one user question. It can call get_company_report through a genuine MCP session, query_partner_database against a synthetic in-memory register, and send_email into a local outbox file. Evil mode restarts the MCP child with an environment switch and appends a poisoned processing directive to an otherwise correct company report.</w:t>
      </w:r>
    </w:p>
    <w:p>
      <w:pPr>
        <w:widowControl/>
      </w:pPr>
      <w:r>
        <w:rPr>
          <w:rFonts w:ascii="Calibri" w:hAnsi="Calibri"/>
          <w:color w:val="1B2638"/>
          <w:sz w:val="22"/>
        </w:rPr>
        <w:t>Gatekeeper Level 1 protects the effect boundary: the database scope gate requires a named partner and a small row bound, and the email contract only allows the firm’s domain. Level 2 retains Level 1, withholds the hostile MCP result before model context, then records an operator containment decision and refuses a retry against the contained MCP identity.</w:t>
      </w:r>
    </w:p>
    <w:p>
      <w:pPr>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CRITICAL INVARIANT  </w:t>
      </w:r>
      <w:r>
        <w:rPr>
          <w:rFonts w:ascii="Calibri" w:hAnsi="Calibri"/>
          <w:color w:val="1B2638"/>
          <w:sz w:val="21"/>
        </w:rPr>
        <w:t>Console output and UI events are presentation. PhaseOutcome is assembled from upstream tool proposals, actual tool effects, enforced Gatekeeper findings, and containment state. That remains the pass oracle.</w:t>
      </w:r>
    </w:p>
    <w:p>
      <w:pPr>
        <w:pStyle w:val="Heading2"/>
        <w:keepNext/>
        <w:widowControl/>
      </w:pPr>
      <w:r>
        <w:t>Composer practices worth carrying forward</w:t>
      </w:r>
    </w:p>
    <w:p>
      <w:pPr>
        <w:pStyle w:val="ListBullet"/>
        <w:widowControl/>
        <w:spacing w:after="80" w:line="290" w:lineRule="auto"/>
        <w:ind w:left="540" w:hanging="279"/>
      </w:pPr>
      <w:r>
        <w:rPr>
          <w:rFonts w:ascii="Calibri" w:hAnsi="Calibri"/>
          <w:color w:val="1B2638"/>
          <w:sz w:val="22"/>
        </w:rPr>
        <w:t>A resizable graph/log split with auto-follow and copyable diagnostics.</w:t>
      </w:r>
    </w:p>
    <w:p>
      <w:pPr>
        <w:pStyle w:val="ListBullet"/>
        <w:widowControl/>
        <w:spacing w:after="80" w:line="290" w:lineRule="auto"/>
        <w:ind w:left="540" w:hanging="279"/>
      </w:pPr>
      <w:r>
        <w:rPr>
          <w:rFonts w:ascii="Calibri" w:hAnsi="Calibri"/>
          <w:color w:val="1B2638"/>
          <w:sz w:val="22"/>
        </w:rPr>
        <w:t>Semantic tones bound to state rather than hard-coded colors in individual controls.</w:t>
      </w:r>
    </w:p>
    <w:p>
      <w:pPr>
        <w:pStyle w:val="ListBullet"/>
        <w:widowControl/>
        <w:spacing w:after="80" w:line="290" w:lineRule="auto"/>
        <w:ind w:left="540" w:hanging="279"/>
      </w:pPr>
      <w:r>
        <w:rPr>
          <w:rFonts w:ascii="Calibri" w:hAnsi="Calibri"/>
          <w:color w:val="1B2638"/>
          <w:sz w:val="22"/>
        </w:rPr>
        <w:t>Stable node and route IDs, idempotent event application, sequence numbers, and selection synchronization.</w:t>
      </w:r>
    </w:p>
    <w:p>
      <w:pPr>
        <w:pStyle w:val="ListBullet"/>
        <w:widowControl/>
        <w:spacing w:after="80" w:line="290" w:lineRule="auto"/>
        <w:ind w:left="540" w:hanging="279"/>
      </w:pPr>
      <w:r>
        <w:rPr>
          <w:rFonts w:ascii="Calibri" w:hAnsi="Calibri"/>
          <w:color w:val="1B2638"/>
          <w:sz w:val="22"/>
        </w:rPr>
        <w:t>Bounded failure envelopes rather than dumping arbitrary provider exceptions into the ordinary UI.</w:t>
      </w:r>
    </w:p>
    <w:p>
      <w:pPr>
        <w:pStyle w:val="ListBullet"/>
        <w:widowControl/>
        <w:spacing w:after="80" w:line="290" w:lineRule="auto"/>
        <w:ind w:left="540" w:hanging="279"/>
      </w:pPr>
      <w:r>
        <w:rPr>
          <w:rFonts w:ascii="Calibri" w:hAnsi="Calibri"/>
          <w:color w:val="1B2638"/>
          <w:sz w:val="22"/>
        </w:rPr>
        <w:t>Data-driven node templates and route geometry, with status held in view models rather than code-behind.</w:t>
      </w:r>
    </w:p>
    <w:p>
      <w:pPr>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SELECTIVE REUSE  </w:t>
      </w:r>
      <w:r>
        <w:rPr>
          <w:rFonts w:ascii="Calibri" w:hAnsi="Calibri"/>
          <w:color w:val="1B2638"/>
          <w:sz w:val="21"/>
        </w:rPr>
        <w:t>MAF Doctor graded the Composer repository C because of one heuristic secret finding in a test and uncapped model-call findings. This does not invalidate the inspected UI patterns, but it reinforces the recommendation to reuse presentation ideas rather than copying its agent runtime wholesale.</w:t>
      </w:r>
    </w:p>
    <w:p>
      <w:pPr>
        <w:pStyle w:val="Heading1"/>
        <w:keepNext/>
        <w:widowControl/>
      </w:pPr>
      <w:r>
        <w:t>3. Proposed experience: the security control room</w:t>
      </w:r>
    </w:p>
    <w:p>
      <w:pPr>
        <w:widowControl/>
        <w:spacing w:after="80"/>
        <w:jc w:val="center"/>
      </w:pPr>
      <w:r>
        <w:drawing>
          <wp:inline xmlns:a="http://schemas.openxmlformats.org/drawingml/2006/main" xmlns:pic="http://schemas.openxmlformats.org/drawingml/2006/picture">
            <wp:extent cx="5897880" cy="3317558"/>
            <wp:docPr id="1" name="Picture 1" descr="Concept layout for the Gatekeeper demo: a live user-to-agent-to-tools security flow on the left and a vertical AI Events timeline on the right, shown with a compromised MCP result blocked before reaching the agent." title="Gatekeeper demo control room concept"/>
            <wp:cNvGraphicFramePr>
              <a:graphicFrameLocks noChangeAspect="1"/>
            </wp:cNvGraphicFramePr>
            <a:graphic>
              <a:graphicData uri="http://schemas.openxmlformats.org/drawingml/2006/picture">
                <pic:pic>
                  <pic:nvPicPr>
                    <pic:cNvPr id="0" name="ui-map.png"/>
                    <pic:cNvPicPr/>
                  </pic:nvPicPr>
                  <pic:blipFill>
                    <a:blip r:embed="rId12"/>
                    <a:stretch>
                      <a:fillRect/>
                    </a:stretch>
                  </pic:blipFill>
                  <pic:spPr>
                    <a:xfrm>
                      <a:off x="0" y="0"/>
                      <a:ext cx="5897880" cy="3317558"/>
                    </a:xfrm>
                    <a:prstGeom prst="rect"/>
                  </pic:spPr>
                </pic:pic>
              </a:graphicData>
            </a:graphic>
          </wp:inline>
        </w:drawing>
      </w:r>
    </w:p>
    <w:p>
      <w:pPr>
        <w:widowControl/>
        <w:spacing w:after="200"/>
        <w:jc w:val="center"/>
      </w:pPr>
      <w:r>
        <w:rPr>
          <w:rFonts w:ascii="Calibri" w:hAnsi="Calibri"/>
          <w:i/>
          <w:color w:val="5F6B7A"/>
          <w:sz w:val="18"/>
        </w:rPr>
        <w:t>Figure 1. Recommended two-column presentation layout; shown in a Level 2 blocked-result state.</w:t>
      </w:r>
    </w:p>
    <w:p>
      <w:pPr>
        <w:pStyle w:val="Heading2"/>
        <w:keepNext/>
        <w:widowControl/>
      </w:pPr>
      <w:r>
        <w:t>Header: configuration that cannot be missed</w:t>
      </w:r>
    </w:p>
    <w:p>
      <w:pPr>
        <w:widowControl/>
      </w:pPr>
      <w:r>
        <w:rPr>
          <w:rFonts w:ascii="Calibri" w:hAnsi="Calibri"/>
          <w:color w:val="1B2638"/>
          <w:sz w:val="22"/>
        </w:rPr>
        <w:t>A fixed header should show the provider (Scripted or Live), current phase or Custom Lab, evil-mode state, Gatekeeper global state, enabled-gate count, execution mode, elapsed time, and run status. Configuration controls are snapshotted and locked when a run starts; changing a security configuration mid-run would make the evidence ambiguous.</w:t>
      </w:r>
    </w:p>
    <w:p>
      <w:pPr>
        <w:pStyle w:val="ListBullet"/>
        <w:widowControl/>
        <w:spacing w:after="80" w:line="290" w:lineRule="auto"/>
        <w:ind w:left="540" w:hanging="279"/>
      </w:pPr>
      <w:r>
        <w:rPr>
          <w:rFonts w:ascii="Calibri" w:hAnsi="Calibri"/>
          <w:color w:val="1B2638"/>
          <w:sz w:val="22"/>
        </w:rPr>
        <w:t>Phase buttons: 1 Clean, 2 Compromised, 3 Level 1, 4 Level 2, plus Run all.</w:t>
      </w:r>
    </w:p>
    <w:p>
      <w:pPr>
        <w:pStyle w:val="ListBullet"/>
        <w:widowControl/>
        <w:spacing w:after="80" w:line="290" w:lineRule="auto"/>
        <w:ind w:left="540" w:hanging="279"/>
      </w:pPr>
      <w:r>
        <w:rPr>
          <w:rFonts w:ascii="Calibri" w:hAnsi="Calibri"/>
          <w:color w:val="1B2638"/>
          <w:sz w:val="22"/>
        </w:rPr>
        <w:t>Evil mode: a conspicuous supplier toggle with a restart/handshake progress state; it controls the real child process, not a visual-only flag.</w:t>
      </w:r>
    </w:p>
    <w:p>
      <w:pPr>
        <w:pStyle w:val="ListBullet"/>
        <w:widowControl/>
        <w:spacing w:after="80" w:line="290" w:lineRule="auto"/>
        <w:ind w:left="540" w:hanging="279"/>
      </w:pPr>
      <w:r>
        <w:rPr>
          <w:rFonts w:ascii="Calibri" w:hAnsi="Calibri"/>
          <w:color w:val="1B2638"/>
          <w:sz w:val="22"/>
        </w:rPr>
        <w:t>Gatekeeper: global Off/On, Enable all, and four individual gate chips in Custom Lab.</w:t>
      </w:r>
    </w:p>
    <w:p>
      <w:pPr>
        <w:pStyle w:val="ListBullet"/>
        <w:widowControl/>
        <w:spacing w:after="80" w:line="290" w:lineRule="auto"/>
        <w:ind w:left="540" w:hanging="279"/>
      </w:pPr>
      <w:r>
        <w:rPr>
          <w:rFonts w:ascii="Calibri" w:hAnsi="Calibri"/>
          <w:color w:val="1B2638"/>
          <w:sz w:val="22"/>
        </w:rPr>
        <w:t>Playback: Real time, Presentation pace, Step, Pause, Next boundary, Replay, and Reset.</w:t>
      </w:r>
    </w:p>
    <w:p>
      <w:pPr>
        <w:pStyle w:val="Heading2"/>
        <w:keepNext/>
        <w:widowControl/>
      </w:pPr>
      <w:r>
        <w:t>Left column: live security flow</w:t>
      </w:r>
    </w:p>
    <w:p>
      <w:pPr>
        <w:widowControl/>
      </w:pPr>
      <w:r>
        <w:rPr>
          <w:rFonts w:ascii="Calibri" w:hAnsi="Calibri"/>
          <w:color w:val="1B2638"/>
          <w:sz w:val="22"/>
        </w:rPr>
        <w:t>The graph should be hard-coded for this scenario but entirely state-driven. The user and PartnerDesk sit on the left and center; PartnerIntel, the partner database, and email form a vertical tool rail on the right. Gatekeeper shields sit on the protected seams rather than appearing as a vague global badge.</w:t>
      </w:r>
    </w:p>
    <w:p>
      <w:pPr>
        <w:widowControl/>
      </w:pPr>
      <w:r>
        <w:rPr>
          <w:rFonts w:ascii="Calibri" w:hAnsi="Calibri"/>
          <w:color w:val="1B2638"/>
          <w:sz w:val="22"/>
        </w:rPr>
        <w:t>Below the graph, keep a compact chat transcript and a Selected Payload strip. Selecting any event, node, or arrow selects the other two views. The payload strip can show the user prompt, model-visible tool result, tool arguments, bounded result summary, Gatekeeper reason, or safe exception envelope.</w:t>
      </w:r>
    </w:p>
    <w:p>
      <w:pPr>
        <w:pStyle w:val="Heading2"/>
        <w:keepNext/>
        <w:widowControl/>
      </w:pPr>
      <w:r>
        <w:t>Right column: vertical AI Events</w:t>
      </w:r>
    </w:p>
    <w:p>
      <w:pPr>
        <w:widowControl/>
      </w:pPr>
      <w:r>
        <w:rPr>
          <w:rFonts w:ascii="Calibri" w:hAnsi="Calibri"/>
          <w:color w:val="1B2638"/>
          <w:sz w:val="22"/>
        </w:rPr>
        <w:t>Each event card carries sequence, wall-clock time, turn, category, source → destination, short summary, disposition, and duration when known. Cards expand to sanitized request/response metadata and safe diagnostics. Filters include User, Agent, Model, MCP, Gate, Tool, Containment, Oracle, Eval, and Error.</w:t>
      </w:r>
    </w:p>
    <w:p>
      <w:pPr>
        <w:pStyle w:val="ListBullet"/>
        <w:widowControl/>
        <w:spacing w:after="80" w:line="290" w:lineRule="auto"/>
        <w:ind w:left="540" w:hanging="279"/>
      </w:pPr>
      <w:r>
        <w:rPr>
          <w:rFonts w:ascii="Calibri" w:hAnsi="Calibri"/>
          <w:color w:val="1B2638"/>
          <w:sz w:val="22"/>
        </w:rPr>
        <w:t>Auto-follow pauses when the presenter scrolls upward and resumes explicitly.</w:t>
      </w:r>
    </w:p>
    <w:p>
      <w:pPr>
        <w:pStyle w:val="ListBullet"/>
        <w:widowControl/>
        <w:spacing w:after="80" w:line="290" w:lineRule="auto"/>
        <w:ind w:left="540" w:hanging="279"/>
      </w:pPr>
      <w:r>
        <w:rPr>
          <w:rFonts w:ascii="Calibri" w:hAnsi="Calibri"/>
          <w:color w:val="1B2638"/>
          <w:sz w:val="22"/>
        </w:rPr>
        <w:t>Copy selected event and Copy safe trace mirror the Composer interaction pattern.</w:t>
      </w:r>
    </w:p>
    <w:p>
      <w:pPr>
        <w:pStyle w:val="ListBullet"/>
        <w:widowControl/>
        <w:spacing w:after="80" w:line="290" w:lineRule="auto"/>
        <w:ind w:left="540" w:hanging="279"/>
      </w:pPr>
      <w:r>
        <w:rPr>
          <w:rFonts w:ascii="Calibri" w:hAnsi="Calibri"/>
          <w:color w:val="1B2638"/>
          <w:sz w:val="22"/>
        </w:rPr>
        <w:t>Exceptions remain in the event stream, with an expandable safe diagnostic and a diagnostic ID.</w:t>
      </w:r>
    </w:p>
    <w:p>
      <w:pPr>
        <w:pStyle w:val="Heading1"/>
        <w:keepNext/>
        <w:widowControl/>
      </w:pPr>
      <w:r>
        <w:t>4. Visual language and motion</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3300"/>
        <w:gridCol w:w="4560"/>
      </w:tblGrid>
      <w:tr>
        <w:trPr>
          <w:tblHeader w:val="true"/>
          <w:cantSplit w:val="true"/>
        </w:trPr>
        <w:tc>
          <w:tcPr>
            <w:tcW w:type="dxa" w:w="1500"/>
            <w:tcMar>
              <w:top w:w="80" w:type="dxa"/>
              <w:start w:w="120" w:type="dxa"/>
              <w:bottom w:w="80" w:type="dxa"/>
              <w:end w:w="120" w:type="dxa"/>
            </w:tcMar>
            <w:vAlign w:val="center"/>
            <w:shd w:fill="E8F0FA" w:val="clear"/>
          </w:tcPr>
          <w:p>
            <w:pPr>
              <w:spacing w:after="0"/>
              <w:jc w:val="left"/>
            </w:pPr>
            <w:r>
              <w:rPr>
                <w:rFonts w:ascii="Calibri" w:hAnsi="Calibri"/>
                <w:b/>
                <w:color w:val="17365D"/>
                <w:sz w:val="19"/>
              </w:rPr>
              <w:t>State</w:t>
            </w:r>
          </w:p>
        </w:tc>
        <w:tc>
          <w:tcPr>
            <w:tcW w:type="dxa" w:w="3300"/>
            <w:tcMar>
              <w:top w:w="80" w:type="dxa"/>
              <w:start w:w="120" w:type="dxa"/>
              <w:bottom w:w="80" w:type="dxa"/>
              <w:end w:w="120" w:type="dxa"/>
            </w:tcMar>
            <w:vAlign w:val="center"/>
            <w:shd w:fill="E8F0FA" w:val="clear"/>
          </w:tcPr>
          <w:p>
            <w:pPr>
              <w:spacing w:after="0"/>
              <w:jc w:val="left"/>
            </w:pPr>
            <w:r>
              <w:rPr>
                <w:rFonts w:ascii="Calibri" w:hAnsi="Calibri"/>
                <w:b/>
                <w:color w:val="17365D"/>
                <w:sz w:val="19"/>
              </w:rPr>
              <w:t>Visual treatment</w:t>
            </w:r>
          </w:p>
        </w:tc>
        <w:tc>
          <w:tcPr>
            <w:tcW w:type="dxa" w:w="4560"/>
            <w:tcMar>
              <w:top w:w="80" w:type="dxa"/>
              <w:start w:w="120" w:type="dxa"/>
              <w:bottom w:w="80" w:type="dxa"/>
              <w:end w:w="120" w:type="dxa"/>
            </w:tcMar>
            <w:vAlign w:val="center"/>
            <w:shd w:fill="E8F0FA" w:val="clear"/>
          </w:tcPr>
          <w:p>
            <w:pPr>
              <w:spacing w:after="0"/>
              <w:jc w:val="left"/>
            </w:pPr>
            <w:r>
              <w:rPr>
                <w:rFonts w:ascii="Calibri" w:hAnsi="Calibri"/>
                <w:b/>
                <w:color w:val="17365D"/>
                <w:sz w:val="19"/>
              </w:rPr>
              <w:t>Meaning</w:t>
            </w:r>
          </w:p>
        </w:tc>
      </w:tr>
      <w:tr>
        <w:trPr>
          <w:cantSplit w:val="true"/>
        </w:trPr>
        <w:tc>
          <w:tcPr>
            <w:tcW w:type="dxa" w:w="1500"/>
          </w:tcPr>
          <w:p>
            <w:pPr>
              <w:spacing w:after="0" w:line="259" w:lineRule="auto"/>
            </w:pPr>
            <w:r>
              <w:rPr>
                <w:rFonts w:ascii="Calibri" w:hAnsi="Calibri"/>
                <w:color w:val="1B2638"/>
                <w:sz w:val="18"/>
              </w:rPr>
              <w:t>Idle</w:t>
            </w:r>
          </w:p>
        </w:tc>
        <w:tc>
          <w:tcPr>
            <w:tcW w:type="dxa" w:w="3300"/>
          </w:tcPr>
          <w:p>
            <w:pPr>
              <w:spacing w:after="0" w:line="259" w:lineRule="auto"/>
            </w:pPr>
            <w:r>
              <w:rPr>
                <w:rFonts w:ascii="Calibri" w:hAnsi="Calibri"/>
                <w:color w:val="1B2638"/>
                <w:sz w:val="18"/>
              </w:rPr>
              <w:t>Neutral gray path/card</w:t>
            </w:r>
          </w:p>
        </w:tc>
        <w:tc>
          <w:tcPr>
            <w:tcW w:type="dxa" w:w="4560"/>
          </w:tcPr>
          <w:p>
            <w:pPr>
              <w:spacing w:after="0" w:line="259" w:lineRule="auto"/>
            </w:pPr>
            <w:r>
              <w:rPr>
                <w:rFonts w:ascii="Calibri" w:hAnsi="Calibri"/>
                <w:color w:val="1B2638"/>
                <w:sz w:val="18"/>
              </w:rPr>
              <w:t>Configured but not active.</w:t>
            </w:r>
          </w:p>
        </w:tc>
      </w:tr>
      <w:tr>
        <w:trPr>
          <w:cantSplit w:val="true"/>
        </w:trPr>
        <w:tc>
          <w:tcPr>
            <w:tcW w:type="dxa" w:w="1500"/>
          </w:tcPr>
          <w:p>
            <w:pPr>
              <w:spacing w:after="0" w:line="259" w:lineRule="auto"/>
            </w:pPr>
            <w:r>
              <w:rPr>
                <w:rFonts w:ascii="Calibri" w:hAnsi="Calibri"/>
                <w:color w:val="1B2638"/>
                <w:sz w:val="18"/>
              </w:rPr>
              <w:t>In flight / working</w:t>
            </w:r>
          </w:p>
        </w:tc>
        <w:tc>
          <w:tcPr>
            <w:tcW w:type="dxa" w:w="3300"/>
          </w:tcPr>
          <w:p>
            <w:pPr>
              <w:spacing w:after="0" w:line="259" w:lineRule="auto"/>
            </w:pPr>
            <w:r>
              <w:rPr>
                <w:rFonts w:ascii="Calibri" w:hAnsi="Calibri"/>
                <w:color w:val="1B2638"/>
                <w:sz w:val="18"/>
              </w:rPr>
              <w:t>Amber pulse or moving dash</w:t>
            </w:r>
          </w:p>
        </w:tc>
        <w:tc>
          <w:tcPr>
            <w:tcW w:type="dxa" w:w="4560"/>
          </w:tcPr>
          <w:p>
            <w:pPr>
              <w:spacing w:after="0" w:line="259" w:lineRule="auto"/>
            </w:pPr>
            <w:r>
              <w:rPr>
                <w:rFonts w:ascii="Calibri" w:hAnsi="Calibri"/>
                <w:color w:val="1B2638"/>
                <w:sz w:val="18"/>
              </w:rPr>
              <w:t>A request is outstanding or a boundary is being evaluated.</w:t>
            </w:r>
          </w:p>
        </w:tc>
      </w:tr>
      <w:tr>
        <w:trPr>
          <w:cantSplit w:val="true"/>
        </w:trPr>
        <w:tc>
          <w:tcPr>
            <w:tcW w:type="dxa" w:w="1500"/>
          </w:tcPr>
          <w:p>
            <w:pPr>
              <w:spacing w:after="0" w:line="259" w:lineRule="auto"/>
            </w:pPr>
            <w:r>
              <w:rPr>
                <w:rFonts w:ascii="Calibri" w:hAnsi="Calibri"/>
                <w:color w:val="1B2638"/>
                <w:sz w:val="18"/>
              </w:rPr>
              <w:t>Safe completed</w:t>
            </w:r>
          </w:p>
        </w:tc>
        <w:tc>
          <w:tcPr>
            <w:tcW w:type="dxa" w:w="3300"/>
          </w:tcPr>
          <w:p>
            <w:pPr>
              <w:spacing w:after="0" w:line="259" w:lineRule="auto"/>
            </w:pPr>
            <w:r>
              <w:rPr>
                <w:rFonts w:ascii="Calibri" w:hAnsi="Calibri"/>
                <w:color w:val="1B2638"/>
                <w:sz w:val="18"/>
              </w:rPr>
              <w:t>Green solid path + check label</w:t>
            </w:r>
          </w:p>
        </w:tc>
        <w:tc>
          <w:tcPr>
            <w:tcW w:type="dxa" w:w="4560"/>
          </w:tcPr>
          <w:p>
            <w:pPr>
              <w:spacing w:after="0" w:line="259" w:lineRule="auto"/>
            </w:pPr>
            <w:r>
              <w:rPr>
                <w:rFonts w:ascii="Calibri" w:hAnsi="Calibri"/>
                <w:color w:val="1B2638"/>
                <w:sz w:val="18"/>
              </w:rPr>
              <w:t>Allowed and completed inside policy.</w:t>
            </w:r>
          </w:p>
        </w:tc>
      </w:tr>
      <w:tr>
        <w:trPr>
          <w:cantSplit w:val="true"/>
        </w:trPr>
        <w:tc>
          <w:tcPr>
            <w:tcW w:type="dxa" w:w="1500"/>
          </w:tcPr>
          <w:p>
            <w:pPr>
              <w:spacing w:after="0" w:line="259" w:lineRule="auto"/>
            </w:pPr>
            <w:r>
              <w:rPr>
                <w:rFonts w:ascii="Calibri" w:hAnsi="Calibri"/>
                <w:color w:val="1B2638"/>
                <w:sz w:val="18"/>
              </w:rPr>
              <w:t>Untrusted origin</w:t>
            </w:r>
          </w:p>
        </w:tc>
        <w:tc>
          <w:tcPr>
            <w:tcW w:type="dxa" w:w="3300"/>
          </w:tcPr>
          <w:p>
            <w:pPr>
              <w:spacing w:after="0" w:line="259" w:lineRule="auto"/>
            </w:pPr>
            <w:r>
              <w:rPr>
                <w:rFonts w:ascii="Calibri" w:hAnsi="Calibri"/>
                <w:color w:val="1B2638"/>
                <w:sz w:val="18"/>
              </w:rPr>
              <w:t>Purple source/card</w:t>
            </w:r>
          </w:p>
        </w:tc>
        <w:tc>
          <w:tcPr>
            <w:tcW w:type="dxa" w:w="4560"/>
          </w:tcPr>
          <w:p>
            <w:pPr>
              <w:spacing w:after="0" w:line="259" w:lineRule="auto"/>
            </w:pPr>
            <w:r>
              <w:rPr>
                <w:rFonts w:ascii="Calibri" w:hAnsi="Calibri"/>
                <w:color w:val="1B2638"/>
                <w:sz w:val="18"/>
              </w:rPr>
              <w:t>Third-party data; not inherently blocked.</w:t>
            </w:r>
          </w:p>
        </w:tc>
      </w:tr>
      <w:tr>
        <w:trPr>
          <w:cantSplit w:val="true"/>
        </w:trPr>
        <w:tc>
          <w:tcPr>
            <w:tcW w:type="dxa" w:w="1500"/>
          </w:tcPr>
          <w:p>
            <w:pPr>
              <w:spacing w:after="0" w:line="259" w:lineRule="auto"/>
            </w:pPr>
            <w:r>
              <w:rPr>
                <w:rFonts w:ascii="Calibri" w:hAnsi="Calibri"/>
                <w:color w:val="1B2638"/>
                <w:sz w:val="18"/>
              </w:rPr>
              <w:t>Unsafe executed</w:t>
            </w:r>
          </w:p>
        </w:tc>
        <w:tc>
          <w:tcPr>
            <w:tcW w:type="dxa" w:w="3300"/>
          </w:tcPr>
          <w:p>
            <w:pPr>
              <w:spacing w:after="0" w:line="259" w:lineRule="auto"/>
            </w:pPr>
            <w:r>
              <w:rPr>
                <w:rFonts w:ascii="Calibri" w:hAnsi="Calibri"/>
                <w:color w:val="1B2638"/>
                <w:sz w:val="18"/>
              </w:rPr>
              <w:t>Red solid path + EXFILTRATED label</w:t>
            </w:r>
          </w:p>
        </w:tc>
        <w:tc>
          <w:tcPr>
            <w:tcW w:type="dxa" w:w="4560"/>
          </w:tcPr>
          <w:p>
            <w:pPr>
              <w:spacing w:after="0" w:line="259" w:lineRule="auto"/>
            </w:pPr>
            <w:r>
              <w:rPr>
                <w:rFonts w:ascii="Calibri" w:hAnsi="Calibri"/>
                <w:color w:val="1B2638"/>
                <w:sz w:val="18"/>
              </w:rPr>
              <w:t>A prohibited effect actually occurred.</w:t>
            </w:r>
          </w:p>
        </w:tc>
      </w:tr>
      <w:tr>
        <w:trPr>
          <w:cantSplit w:val="true"/>
        </w:trPr>
        <w:tc>
          <w:tcPr>
            <w:tcW w:type="dxa" w:w="1500"/>
          </w:tcPr>
          <w:p>
            <w:pPr>
              <w:spacing w:after="0" w:line="259" w:lineRule="auto"/>
            </w:pPr>
            <w:r>
              <w:rPr>
                <w:rFonts w:ascii="Calibri" w:hAnsi="Calibri"/>
                <w:color w:val="1B2638"/>
                <w:sz w:val="18"/>
              </w:rPr>
              <w:t>Unsafe attempted, blocked</w:t>
            </w:r>
          </w:p>
        </w:tc>
        <w:tc>
          <w:tcPr>
            <w:tcW w:type="dxa" w:w="3300"/>
          </w:tcPr>
          <w:p>
            <w:pPr>
              <w:spacing w:after="0" w:line="259" w:lineRule="auto"/>
            </w:pPr>
            <w:r>
              <w:rPr>
                <w:rFonts w:ascii="Calibri" w:hAnsi="Calibri"/>
                <w:color w:val="1B2638"/>
                <w:sz w:val="18"/>
              </w:rPr>
              <w:t>Red dashed path stops at a green shield</w:t>
            </w:r>
          </w:p>
        </w:tc>
        <w:tc>
          <w:tcPr>
            <w:tcW w:type="dxa" w:w="4560"/>
          </w:tcPr>
          <w:p>
            <w:pPr>
              <w:spacing w:after="0" w:line="259" w:lineRule="auto"/>
            </w:pPr>
            <w:r>
              <w:rPr>
                <w:rFonts w:ascii="Calibri" w:hAnsi="Calibri"/>
                <w:color w:val="1B2638"/>
                <w:sz w:val="18"/>
              </w:rPr>
              <w:t>The agent tried; Gatekeeper prevented execution.</w:t>
            </w:r>
          </w:p>
        </w:tc>
      </w:tr>
      <w:tr>
        <w:trPr>
          <w:cantSplit w:val="true"/>
        </w:trPr>
        <w:tc>
          <w:tcPr>
            <w:tcW w:type="dxa" w:w="1500"/>
          </w:tcPr>
          <w:p>
            <w:pPr>
              <w:spacing w:after="0" w:line="259" w:lineRule="auto"/>
            </w:pPr>
            <w:r>
              <w:rPr>
                <w:rFonts w:ascii="Calibri" w:hAnsi="Calibri"/>
                <w:color w:val="1B2638"/>
                <w:sz w:val="18"/>
              </w:rPr>
              <w:t>Withheld result</w:t>
            </w:r>
          </w:p>
        </w:tc>
        <w:tc>
          <w:tcPr>
            <w:tcW w:type="dxa" w:w="3300"/>
          </w:tcPr>
          <w:p>
            <w:pPr>
              <w:spacing w:after="0" w:line="259" w:lineRule="auto"/>
            </w:pPr>
            <w:r>
              <w:rPr>
                <w:rFonts w:ascii="Calibri" w:hAnsi="Calibri"/>
                <w:color w:val="1B2638"/>
                <w:sz w:val="18"/>
              </w:rPr>
              <w:t>Purple/red result stops at green result shield</w:t>
            </w:r>
          </w:p>
        </w:tc>
        <w:tc>
          <w:tcPr>
            <w:tcW w:type="dxa" w:w="4560"/>
          </w:tcPr>
          <w:p>
            <w:pPr>
              <w:spacing w:after="0" w:line="259" w:lineRule="auto"/>
            </w:pPr>
            <w:r>
              <w:rPr>
                <w:rFonts w:ascii="Calibri" w:hAnsi="Calibri"/>
                <w:color w:val="1B2638"/>
                <w:sz w:val="18"/>
              </w:rPr>
              <w:t>Tool ran, but hostile content never reached model context.</w:t>
            </w:r>
          </w:p>
        </w:tc>
      </w:tr>
      <w:tr>
        <w:trPr>
          <w:cantSplit w:val="true"/>
        </w:trPr>
        <w:tc>
          <w:tcPr>
            <w:tcW w:type="dxa" w:w="1500"/>
          </w:tcPr>
          <w:p>
            <w:pPr>
              <w:spacing w:after="0" w:line="259" w:lineRule="auto"/>
            </w:pPr>
            <w:r>
              <w:rPr>
                <w:rFonts w:ascii="Calibri" w:hAnsi="Calibri"/>
                <w:color w:val="1B2638"/>
                <w:sz w:val="18"/>
              </w:rPr>
              <w:t>Contained</w:t>
            </w:r>
          </w:p>
        </w:tc>
        <w:tc>
          <w:tcPr>
            <w:tcW w:type="dxa" w:w="3300"/>
          </w:tcPr>
          <w:p>
            <w:pPr>
              <w:spacing w:after="0" w:line="259" w:lineRule="auto"/>
            </w:pPr>
            <w:r>
              <w:rPr>
                <w:rFonts w:ascii="Calibri" w:hAnsi="Calibri"/>
                <w:color w:val="1B2638"/>
                <w:sz w:val="18"/>
              </w:rPr>
              <w:t>Shield/lock badge and severed route</w:t>
            </w:r>
          </w:p>
        </w:tc>
        <w:tc>
          <w:tcPr>
            <w:tcW w:type="dxa" w:w="4560"/>
          </w:tcPr>
          <w:p>
            <w:pPr>
              <w:spacing w:after="0" w:line="259" w:lineRule="auto"/>
            </w:pPr>
            <w:r>
              <w:rPr>
                <w:rFonts w:ascii="Calibri" w:hAnsi="Calibri"/>
                <w:color w:val="1B2638"/>
                <w:sz w:val="18"/>
              </w:rPr>
              <w:t>A durable operator decision blocks the identity.</w:t>
            </w:r>
          </w:p>
        </w:tc>
      </w:tr>
      <w:tr>
        <w:trPr>
          <w:cantSplit w:val="true"/>
        </w:trPr>
        <w:tc>
          <w:tcPr>
            <w:tcW w:type="dxa" w:w="1500"/>
          </w:tcPr>
          <w:p>
            <w:pPr>
              <w:spacing w:after="0" w:line="259" w:lineRule="auto"/>
            </w:pPr>
            <w:r>
              <w:rPr>
                <w:rFonts w:ascii="Calibri" w:hAnsi="Calibri"/>
                <w:color w:val="1B2638"/>
                <w:sz w:val="18"/>
              </w:rPr>
              <w:t>Failure</w:t>
            </w:r>
          </w:p>
        </w:tc>
        <w:tc>
          <w:tcPr>
            <w:tcW w:type="dxa" w:w="3300"/>
          </w:tcPr>
          <w:p>
            <w:pPr>
              <w:spacing w:after="0" w:line="259" w:lineRule="auto"/>
            </w:pPr>
            <w:r>
              <w:rPr>
                <w:rFonts w:ascii="Calibri" w:hAnsi="Calibri"/>
                <w:color w:val="1B2638"/>
                <w:sz w:val="18"/>
              </w:rPr>
              <w:t>Red error badge + diagnostic ID</w:t>
            </w:r>
          </w:p>
        </w:tc>
        <w:tc>
          <w:tcPr>
            <w:tcW w:type="dxa" w:w="4560"/>
          </w:tcPr>
          <w:p>
            <w:pPr>
              <w:spacing w:after="0" w:line="259" w:lineRule="auto"/>
            </w:pPr>
            <w:r>
              <w:rPr>
                <w:rFonts w:ascii="Calibri" w:hAnsi="Calibri"/>
                <w:color w:val="1B2638"/>
                <w:sz w:val="18"/>
              </w:rPr>
              <w:t>Execution failed; not equivalent to a policy block.</w:t>
            </w:r>
          </w:p>
        </w:tc>
      </w:tr>
    </w:tbl>
    <w:p>
      <w:pPr>
        <w:spacing w:before="120" w:after="200" w:line="283" w:lineRule="auto"/>
        <w:ind w:left="173" w:right="115"/>
        <w:shd w:fill="E8F0FA" w:val="clear"/>
        <w:widowControl/>
        <w:pBdr>
          <w:left w:val="single" w:sz="28" w:space="8" w:color="2E74B5"/>
        </w:pBdr>
      </w:pPr>
      <w:r>
        <w:rPr>
          <w:rFonts w:ascii="Calibri" w:hAnsi="Calibri"/>
          <w:b/>
          <w:color w:val="2E74B5"/>
          <w:sz w:val="20"/>
        </w:rPr>
        <w:t xml:space="preserve">ACCESSIBILITY  </w:t>
      </w:r>
      <w:r>
        <w:rPr>
          <w:rFonts w:ascii="Calibri" w:hAnsi="Calibri"/>
          <w:color w:val="1B2638"/>
          <w:sz w:val="21"/>
        </w:rPr>
        <w:t>Color is never the only carrier. Every state also uses a label, icon, line pattern, and accessible name. Motion respects reduced-motion settings; a projector mode increases type, path thickness, and dwell time.</w:t>
      </w:r>
    </w:p>
    <w:p>
      <w:pPr>
        <w:pStyle w:val="Heading2"/>
        <w:keepNext/>
        <w:widowControl/>
      </w:pPr>
      <w:r>
        <w:t>How to visualize “thinking” honestly</w:t>
      </w:r>
    </w:p>
    <w:p>
      <w:pPr>
        <w:widowControl/>
      </w:pPr>
      <w:r>
        <w:rPr>
          <w:rFonts w:ascii="Calibri" w:hAnsi="Calibri"/>
          <w:color w:val="1B2638"/>
          <w:sz w:val="22"/>
        </w:rPr>
        <w:t>The UI should show Model request started, Agent working, Model response received, and Tool decision produced. It must not expose or invent hidden chain-of-thought. When a provider returns no visible reasoning, the inspector shows timings, token usage when available, and the visible tool call or answer only.</w:t>
      </w:r>
    </w:p>
    <w:p>
      <w:pPr>
        <w:pStyle w:val="Heading2"/>
        <w:keepNext/>
        <w:widowControl/>
      </w:pPr>
      <w:r>
        <w:t>Execution modes</w:t>
      </w:r>
    </w:p>
    <w:p>
      <w:pPr>
        <w:pStyle w:val="ListBullet"/>
        <w:widowControl/>
        <w:spacing w:after="80" w:line="290" w:lineRule="auto"/>
        <w:ind w:left="540" w:hanging="279"/>
      </w:pPr>
      <w:r>
        <w:rPr>
          <w:rFonts w:ascii="Calibri" w:hAnsi="Calibri"/>
          <w:color w:val="1B2638"/>
          <w:sz w:val="22"/>
        </w:rPr>
        <w:t>Real time applies typed events as they occur and displays actual durations.</w:t>
      </w:r>
    </w:p>
    <w:p>
      <w:pPr>
        <w:pStyle w:val="ListBullet"/>
        <w:widowControl/>
        <w:spacing w:after="80" w:line="290" w:lineRule="auto"/>
        <w:ind w:left="540" w:hanging="279"/>
      </w:pPr>
      <w:r>
        <w:rPr>
          <w:rFonts w:ascii="Calibri" w:hAnsi="Calibri"/>
          <w:color w:val="1B2638"/>
          <w:sz w:val="22"/>
        </w:rPr>
        <w:t>Presentation pace buffers visualization and guarantees a minimum dwell for fast local tools without slowing or changing the underlying run.</w:t>
      </w:r>
    </w:p>
    <w:p>
      <w:pPr>
        <w:pStyle w:val="ListBullet"/>
        <w:widowControl/>
        <w:spacing w:after="80" w:line="290" w:lineRule="auto"/>
        <w:ind w:left="540" w:hanging="279"/>
      </w:pPr>
      <w:r>
        <w:rPr>
          <w:rFonts w:ascii="Calibri" w:hAnsi="Calibri"/>
          <w:color w:val="1B2638"/>
          <w:sz w:val="22"/>
        </w:rPr>
        <w:t>Step pauses at application-owned boundaries: before model request, after a tool proposal, before a tool executes, before containment, and before the final answer. It cannot pause inside hidden provider reasoning.</w:t>
      </w:r>
    </w:p>
    <w:p>
      <w:pPr>
        <w:pStyle w:val="ListBullet"/>
        <w:widowControl/>
        <w:spacing w:after="80" w:line="290" w:lineRule="auto"/>
        <w:ind w:left="540" w:hanging="279"/>
      </w:pPr>
      <w:r>
        <w:rPr>
          <w:rFonts w:ascii="Calibri" w:hAnsi="Calibri"/>
          <w:color w:val="1B2638"/>
          <w:sz w:val="22"/>
        </w:rPr>
        <w:t>Replay is always available from a completed typed event trace. Replay is labeled clearly and never masquerades as a live run.</w:t>
      </w:r>
    </w:p>
    <w:p>
      <w:pPr>
        <w:pStyle w:val="Heading1"/>
        <w:keepNext/>
        <w:widowControl/>
      </w:pPr>
      <w:r>
        <w:t>5. Phase presets and Custom Lab</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1400"/>
        <w:gridCol w:w="2700"/>
        <w:gridCol w:w="3760"/>
      </w:tblGrid>
      <w:tr>
        <w:trPr>
          <w:tblHeader w:val="true"/>
          <w:cantSplit w:val="true"/>
        </w:trPr>
        <w:tc>
          <w:tcPr>
            <w:tcW w:type="dxa" w:w="1500"/>
            <w:tcMar>
              <w:top w:w="80" w:type="dxa"/>
              <w:start w:w="120" w:type="dxa"/>
              <w:bottom w:w="80" w:type="dxa"/>
              <w:end w:w="120" w:type="dxa"/>
            </w:tcMar>
            <w:vAlign w:val="center"/>
            <w:shd w:fill="E8F0FA" w:val="clear"/>
          </w:tcPr>
          <w:p>
            <w:pPr>
              <w:spacing w:after="0"/>
              <w:jc w:val="left"/>
            </w:pPr>
            <w:r>
              <w:rPr>
                <w:rFonts w:ascii="Calibri" w:hAnsi="Calibri"/>
                <w:b/>
                <w:color w:val="17365D"/>
                <w:sz w:val="19"/>
              </w:rPr>
              <w:t>Preset</w:t>
            </w:r>
          </w:p>
        </w:tc>
        <w:tc>
          <w:tcPr>
            <w:tcW w:type="dxa" w:w="1400"/>
            <w:tcMar>
              <w:top w:w="80" w:type="dxa"/>
              <w:start w:w="120" w:type="dxa"/>
              <w:bottom w:w="80" w:type="dxa"/>
              <w:end w:w="120" w:type="dxa"/>
            </w:tcMar>
            <w:vAlign w:val="center"/>
            <w:shd w:fill="E8F0FA" w:val="clear"/>
          </w:tcPr>
          <w:p>
            <w:pPr>
              <w:spacing w:after="0"/>
              <w:jc w:val="left"/>
            </w:pPr>
            <w:r>
              <w:rPr>
                <w:rFonts w:ascii="Calibri" w:hAnsi="Calibri"/>
                <w:b/>
                <w:color w:val="17365D"/>
                <w:sz w:val="19"/>
              </w:rPr>
              <w:t>Supplier</w:t>
            </w:r>
          </w:p>
        </w:tc>
        <w:tc>
          <w:tcPr>
            <w:tcW w:type="dxa" w:w="2700"/>
            <w:tcMar>
              <w:top w:w="80" w:type="dxa"/>
              <w:start w:w="120" w:type="dxa"/>
              <w:bottom w:w="80" w:type="dxa"/>
              <w:end w:w="120" w:type="dxa"/>
            </w:tcMar>
            <w:vAlign w:val="center"/>
            <w:shd w:fill="E8F0FA" w:val="clear"/>
          </w:tcPr>
          <w:p>
            <w:pPr>
              <w:spacing w:after="0"/>
              <w:jc w:val="left"/>
            </w:pPr>
            <w:r>
              <w:rPr>
                <w:rFonts w:ascii="Calibri" w:hAnsi="Calibri"/>
                <w:b/>
                <w:color w:val="17365D"/>
                <w:sz w:val="19"/>
              </w:rPr>
              <w:t>Gate configuration</w:t>
            </w:r>
          </w:p>
        </w:tc>
        <w:tc>
          <w:tcPr>
            <w:tcW w:type="dxa" w:w="3760"/>
            <w:tcMar>
              <w:top w:w="80" w:type="dxa"/>
              <w:start w:w="120" w:type="dxa"/>
              <w:bottom w:w="80" w:type="dxa"/>
              <w:end w:w="120" w:type="dxa"/>
            </w:tcMar>
            <w:vAlign w:val="center"/>
            <w:shd w:fill="E8F0FA" w:val="clear"/>
          </w:tcPr>
          <w:p>
            <w:pPr>
              <w:spacing w:after="0"/>
              <w:jc w:val="left"/>
            </w:pPr>
            <w:r>
              <w:rPr>
                <w:rFonts w:ascii="Calibri" w:hAnsi="Calibri"/>
                <w:b/>
                <w:color w:val="17365D"/>
                <w:sz w:val="19"/>
              </w:rPr>
              <w:t>What the graph must make obvious</w:t>
            </w:r>
          </w:p>
        </w:tc>
      </w:tr>
      <w:tr>
        <w:trPr>
          <w:cantSplit w:val="true"/>
        </w:trPr>
        <w:tc>
          <w:tcPr>
            <w:tcW w:type="dxa" w:w="1500"/>
          </w:tcPr>
          <w:p>
            <w:pPr>
              <w:spacing w:after="0" w:line="259" w:lineRule="auto"/>
            </w:pPr>
            <w:r>
              <w:rPr>
                <w:rFonts w:ascii="Calibri" w:hAnsi="Calibri"/>
                <w:color w:val="1B2638"/>
                <w:sz w:val="18"/>
              </w:rPr>
              <w:t>1 — It Works</w:t>
            </w:r>
          </w:p>
        </w:tc>
        <w:tc>
          <w:tcPr>
            <w:tcW w:type="dxa" w:w="1400"/>
          </w:tcPr>
          <w:p>
            <w:pPr>
              <w:spacing w:after="0" w:line="259" w:lineRule="auto"/>
            </w:pPr>
            <w:r>
              <w:rPr>
                <w:rFonts w:ascii="Calibri" w:hAnsi="Calibri"/>
                <w:color w:val="1B2638"/>
                <w:sz w:val="18"/>
              </w:rPr>
              <w:t>Clean</w:t>
            </w:r>
          </w:p>
        </w:tc>
        <w:tc>
          <w:tcPr>
            <w:tcW w:type="dxa" w:w="2700"/>
          </w:tcPr>
          <w:p>
            <w:pPr>
              <w:spacing w:after="0" w:line="259" w:lineRule="auto"/>
            </w:pPr>
            <w:r>
              <w:rPr>
                <w:rFonts w:ascii="Calibri" w:hAnsi="Calibri"/>
                <w:color w:val="1B2638"/>
                <w:sz w:val="18"/>
              </w:rPr>
              <w:t>No Gatekeeper</w:t>
            </w:r>
          </w:p>
        </w:tc>
        <w:tc>
          <w:tcPr>
            <w:tcW w:type="dxa" w:w="3760"/>
          </w:tcPr>
          <w:p>
            <w:pPr>
              <w:spacing w:after="0" w:line="259" w:lineRule="auto"/>
            </w:pPr>
            <w:r>
              <w:rPr>
                <w:rFonts w:ascii="Calibri" w:hAnsi="Calibri"/>
                <w:color w:val="1B2638"/>
                <w:sz w:val="18"/>
              </w:rPr>
              <w:t>Legitimate MCP report → one lookup → internal email.</w:t>
            </w:r>
          </w:p>
        </w:tc>
      </w:tr>
      <w:tr>
        <w:trPr>
          <w:cantSplit w:val="true"/>
        </w:trPr>
        <w:tc>
          <w:tcPr>
            <w:tcW w:type="dxa" w:w="1500"/>
          </w:tcPr>
          <w:p>
            <w:pPr>
              <w:spacing w:after="0" w:line="259" w:lineRule="auto"/>
            </w:pPr>
            <w:r>
              <w:rPr>
                <w:rFonts w:ascii="Calibri" w:hAnsi="Calibri"/>
                <w:color w:val="1B2638"/>
                <w:sz w:val="18"/>
              </w:rPr>
              <w:t>2 — Supplier Turns</w:t>
            </w:r>
          </w:p>
        </w:tc>
        <w:tc>
          <w:tcPr>
            <w:tcW w:type="dxa" w:w="1400"/>
          </w:tcPr>
          <w:p>
            <w:pPr>
              <w:spacing w:after="0" w:line="259" w:lineRule="auto"/>
            </w:pPr>
            <w:r>
              <w:rPr>
                <w:rFonts w:ascii="Calibri" w:hAnsi="Calibri"/>
                <w:color w:val="1B2638"/>
                <w:sz w:val="18"/>
              </w:rPr>
              <w:t>Compromised</w:t>
            </w:r>
          </w:p>
        </w:tc>
        <w:tc>
          <w:tcPr>
            <w:tcW w:type="dxa" w:w="2700"/>
          </w:tcPr>
          <w:p>
            <w:pPr>
              <w:spacing w:after="0" w:line="259" w:lineRule="auto"/>
            </w:pPr>
            <w:r>
              <w:rPr>
                <w:rFonts w:ascii="Calibri" w:hAnsi="Calibri"/>
                <w:color w:val="1B2638"/>
                <w:sz w:val="18"/>
              </w:rPr>
              <w:t>No Gatekeeper</w:t>
            </w:r>
          </w:p>
        </w:tc>
        <w:tc>
          <w:tcPr>
            <w:tcW w:type="dxa" w:w="3760"/>
          </w:tcPr>
          <w:p>
            <w:pPr>
              <w:spacing w:after="0" w:line="259" w:lineRule="auto"/>
            </w:pPr>
            <w:r>
              <w:rPr>
                <w:rFonts w:ascii="Calibri" w:hAnsi="Calibri"/>
                <w:color w:val="1B2638"/>
                <w:sz w:val="18"/>
              </w:rPr>
              <w:t>Poison reaches agent; 100-row read and external email execute in red.</w:t>
            </w:r>
          </w:p>
        </w:tc>
      </w:tr>
      <w:tr>
        <w:trPr>
          <w:cantSplit w:val="true"/>
        </w:trPr>
        <w:tc>
          <w:tcPr>
            <w:tcW w:type="dxa" w:w="1500"/>
          </w:tcPr>
          <w:p>
            <w:pPr>
              <w:spacing w:after="0" w:line="259" w:lineRule="auto"/>
            </w:pPr>
            <w:r>
              <w:rPr>
                <w:rFonts w:ascii="Calibri" w:hAnsi="Calibri"/>
                <w:color w:val="1B2638"/>
                <w:sz w:val="18"/>
              </w:rPr>
              <w:t>3 — Level 1</w:t>
            </w:r>
          </w:p>
        </w:tc>
        <w:tc>
          <w:tcPr>
            <w:tcW w:type="dxa" w:w="1400"/>
          </w:tcPr>
          <w:p>
            <w:pPr>
              <w:spacing w:after="0" w:line="259" w:lineRule="auto"/>
            </w:pPr>
            <w:r>
              <w:rPr>
                <w:rFonts w:ascii="Calibri" w:hAnsi="Calibri"/>
                <w:color w:val="1B2638"/>
                <w:sz w:val="18"/>
              </w:rPr>
              <w:t>Compromised</w:t>
            </w:r>
          </w:p>
        </w:tc>
        <w:tc>
          <w:tcPr>
            <w:tcW w:type="dxa" w:w="2700"/>
          </w:tcPr>
          <w:p>
            <w:pPr>
              <w:spacing w:after="0" w:line="259" w:lineRule="auto"/>
            </w:pPr>
            <w:r>
              <w:rPr>
                <w:rFonts w:ascii="Calibri" w:hAnsi="Calibri"/>
                <w:color w:val="1B2638"/>
                <w:sz w:val="18"/>
              </w:rPr>
              <w:t>DB scope + email domain</w:t>
            </w:r>
          </w:p>
        </w:tc>
        <w:tc>
          <w:tcPr>
            <w:tcW w:type="dxa" w:w="3760"/>
          </w:tcPr>
          <w:p>
            <w:pPr>
              <w:spacing w:after="0" w:line="259" w:lineRule="auto"/>
            </w:pPr>
            <w:r>
              <w:rPr>
                <w:rFonts w:ascii="Calibri" w:hAnsi="Calibri"/>
                <w:color w:val="1B2638"/>
                <w:sz w:val="18"/>
              </w:rPr>
              <w:t>Unsafe intent remains visible; both effects stop before execution.</w:t>
            </w:r>
          </w:p>
        </w:tc>
      </w:tr>
      <w:tr>
        <w:trPr>
          <w:cantSplit w:val="true"/>
        </w:trPr>
        <w:tc>
          <w:tcPr>
            <w:tcW w:type="dxa" w:w="1500"/>
          </w:tcPr>
          <w:p>
            <w:pPr>
              <w:spacing w:after="0" w:line="259" w:lineRule="auto"/>
            </w:pPr>
            <w:r>
              <w:rPr>
                <w:rFonts w:ascii="Calibri" w:hAnsi="Calibri"/>
                <w:color w:val="1B2638"/>
                <w:sz w:val="18"/>
              </w:rPr>
              <w:t>4 — Level 2</w:t>
            </w:r>
          </w:p>
        </w:tc>
        <w:tc>
          <w:tcPr>
            <w:tcW w:type="dxa" w:w="1400"/>
          </w:tcPr>
          <w:p>
            <w:pPr>
              <w:spacing w:after="0" w:line="259" w:lineRule="auto"/>
            </w:pPr>
            <w:r>
              <w:rPr>
                <w:rFonts w:ascii="Calibri" w:hAnsi="Calibri"/>
                <w:color w:val="1B2638"/>
                <w:sz w:val="18"/>
              </w:rPr>
              <w:t>Compromised</w:t>
            </w:r>
          </w:p>
        </w:tc>
        <w:tc>
          <w:tcPr>
            <w:tcW w:type="dxa" w:w="2700"/>
          </w:tcPr>
          <w:p>
            <w:pPr>
              <w:spacing w:after="0" w:line="259" w:lineRule="auto"/>
            </w:pPr>
            <w:r>
              <w:rPr>
                <w:rFonts w:ascii="Calibri" w:hAnsi="Calibri"/>
                <w:color w:val="1B2638"/>
                <w:sz w:val="18"/>
              </w:rPr>
              <w:t>Level 1 + result admission + containment</w:t>
            </w:r>
          </w:p>
        </w:tc>
        <w:tc>
          <w:tcPr>
            <w:tcW w:type="dxa" w:w="3760"/>
          </w:tcPr>
          <w:p>
            <w:pPr>
              <w:spacing w:after="0" w:line="259" w:lineRule="auto"/>
            </w:pPr>
            <w:r>
              <w:rPr>
                <w:rFonts w:ascii="Calibri" w:hAnsi="Calibri"/>
                <w:color w:val="1B2638"/>
                <w:sz w:val="18"/>
              </w:rPr>
              <w:t>Poison stops before the agent; operator contains; retry is refused.</w:t>
            </w:r>
          </w:p>
        </w:tc>
      </w:tr>
    </w:tbl>
    <w:p>
      <w:pPr>
        <w:pStyle w:val="Heading2"/>
        <w:keepNext/>
        <w:widowControl/>
      </w:pPr>
      <w:r>
        <w:t>Global and one-gate-at-a-time controls</w:t>
      </w:r>
    </w:p>
    <w:p>
      <w:pPr>
        <w:widowControl/>
      </w:pPr>
      <w:r>
        <w:rPr>
          <w:rFonts w:ascii="Calibri" w:hAnsi="Calibri"/>
          <w:color w:val="1B2638"/>
          <w:sz w:val="22"/>
        </w:rPr>
        <w:t>Replace the single GateLevel enum at the UI boundary with a validated GateConfiguration snapshot while retaining the enum as the canonical preset map. Global Off bypasses UseGatekeeper entirely. Global On applies only the selected gates. Enable all selects the full stack.</w:t>
      </w:r>
    </w:p>
    <w:p>
      <w:pPr>
        <w:pStyle w:val="ListBullet"/>
        <w:widowControl/>
        <w:spacing w:after="80" w:line="290" w:lineRule="auto"/>
        <w:ind w:left="540" w:hanging="279"/>
      </w:pPr>
      <w:r>
        <w:rPr>
          <w:rFonts w:ascii="Calibri" w:hAnsi="Calibri"/>
          <w:color w:val="1B2638"/>
          <w:sz w:val="22"/>
        </w:rPr>
        <w:t>Email recipient-domain contract.</w:t>
      </w:r>
    </w:p>
    <w:p>
      <w:pPr>
        <w:pStyle w:val="ListBullet"/>
        <w:widowControl/>
        <w:spacing w:after="80" w:line="290" w:lineRule="auto"/>
        <w:ind w:left="540" w:hanging="279"/>
      </w:pPr>
      <w:r>
        <w:rPr>
          <w:rFonts w:ascii="Calibri" w:hAnsi="Calibri"/>
          <w:color w:val="1B2638"/>
          <w:sz w:val="22"/>
        </w:rPr>
        <w:t>Partner database single-partner/row-bound gate.</w:t>
      </w:r>
    </w:p>
    <w:p>
      <w:pPr>
        <w:pStyle w:val="ListBullet"/>
        <w:widowControl/>
        <w:spacing w:after="80" w:line="290" w:lineRule="auto"/>
        <w:ind w:left="540" w:hanging="279"/>
      </w:pPr>
      <w:r>
        <w:rPr>
          <w:rFonts w:ascii="Calibri" w:hAnsi="Calibri"/>
          <w:color w:val="1B2638"/>
          <w:sz w:val="22"/>
        </w:rPr>
        <w:t>PartnerIntel result-admission prefilter.</w:t>
      </w:r>
    </w:p>
    <w:p>
      <w:pPr>
        <w:pStyle w:val="ListBullet"/>
        <w:widowControl/>
        <w:spacing w:after="80" w:line="290" w:lineRule="auto"/>
        <w:ind w:left="540" w:hanging="279"/>
      </w:pPr>
      <w:r>
        <w:rPr>
          <w:rFonts w:ascii="Calibri" w:hAnsi="Calibri"/>
          <w:color w:val="1B2638"/>
          <w:sz w:val="22"/>
        </w:rPr>
        <w:t>Containment store and identity enforcement.</w:t>
      </w:r>
    </w:p>
    <w:p>
      <w:pPr>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DEPENDENCY RULE  </w:t>
      </w:r>
      <w:r>
        <w:rPr>
          <w:rFonts w:ascii="Calibri" w:hAnsi="Calibri"/>
          <w:color w:val="1B2638"/>
          <w:sz w:val="21"/>
        </w:rPr>
        <w:t>Containment does not discover compromise. It requires a result-admission finding plus an operator decision. The UI should disable or explain incoherent combinations instead of silently inventing semantics.</w:t>
      </w:r>
    </w:p>
    <w:p>
      <w:pPr>
        <w:widowControl/>
      </w:pPr>
      <w:r>
        <w:rPr>
          <w:rFonts w:ascii="Calibri" w:hAnsi="Calibri"/>
          <w:color w:val="1B2638"/>
          <w:sz w:val="22"/>
        </w:rPr>
        <w:t>Selecting an individual gate moves the run to Custom Lab. Custom combinations are exploratory unless a dedicated oracle exists. The UI may show observed proposals, effects, and findings, but it must not display the upstream phase PASS badge for a configuration the phase oracle was not written to judge.</w:t>
      </w:r>
    </w:p>
    <w:p>
      <w:pPr>
        <w:pStyle w:val="Heading2"/>
        <w:keepNext/>
        <w:widowControl/>
      </w:pPr>
      <w:r>
        <w:t>Comparison experience</w:t>
      </w:r>
    </w:p>
    <w:p>
      <w:pPr>
        <w:widowControl/>
      </w:pPr>
      <w:r>
        <w:rPr>
          <w:rFonts w:ascii="Calibri" w:hAnsi="Calibri"/>
          <w:color w:val="1B2638"/>
          <w:sz w:val="22"/>
        </w:rPr>
        <w:t>Run comparison should offer a deterministic offline A/B replay for exact before/after explanation and a live evaluation path for stochastic claims. One live run with gates and one without is illustrative, not causal; the Experiment workspace is where rates and confidence intervals belong.</w:t>
      </w:r>
    </w:p>
    <w:p>
      <w:pPr>
        <w:widowControl/>
      </w:pPr>
      <w:r>
        <w:br w:type="page"/>
      </w:r>
    </w:p>
    <w:p>
      <w:pPr>
        <w:pStyle w:val="Heading1"/>
        <w:keepNext/>
        <w:widowControl/>
      </w:pPr>
      <w:r>
        <w:t>6. Typed event architecture</w:t>
      </w:r>
    </w:p>
    <w:p>
      <w:pPr>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DESIGN RULE  </w:t>
      </w:r>
      <w:r>
        <w:rPr>
          <w:rFonts w:ascii="Calibri" w:hAnsi="Calibri"/>
          <w:color w:val="1B2638"/>
          <w:sz w:val="21"/>
        </w:rPr>
        <w:t>One semantic event stream feeds the graph, AI Events timeline, chat/payload inspector, JSONL replay, and presenter pacing. PhaseOutcome remains independent ground truth.</w:t>
      </w:r>
    </w:p>
    <w:p>
      <w:pPr>
        <w:pStyle w:val="Heading2"/>
        <w:keepNext/>
        <w:widowControl/>
      </w:pPr>
      <w:r>
        <w:t>Recommended event envelope</w:t>
      </w:r>
    </w:p>
    <w:p>
      <w:pPr>
        <w:widowControl/>
      </w:pPr>
      <w:r>
        <w:rPr>
          <w:rFonts w:ascii="Calibri" w:hAnsi="Calibri"/>
          <w:color w:val="1B2638"/>
          <w:sz w:val="22"/>
        </w:rPr>
        <w:t>Introduce an immutable PartnerDeskEvent with RunId, EventId, Sequence, Timestamp, Phase, Attempt, Turn, CorrelationId, OperationId, Kind, SourceNodeId, TargetNodeId, EdgeId, State, SecurityDisposition, Summary, Duration, bounded payload metadata, and a safe failure envelope. Assign sequence numbers in a single DemoEventHub before publishing to the UI.</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700"/>
        <w:gridCol w:w="4200"/>
        <w:gridCol w:w="3460"/>
      </w:tblGrid>
      <w:tr>
        <w:trPr>
          <w:tblHeader w:val="true"/>
          <w:cantSplit w:val="true"/>
        </w:trPr>
        <w:tc>
          <w:tcPr>
            <w:tcW w:type="dxa" w:w="1700"/>
            <w:tcMar>
              <w:top w:w="80" w:type="dxa"/>
              <w:start w:w="120" w:type="dxa"/>
              <w:bottom w:w="80" w:type="dxa"/>
              <w:end w:w="120" w:type="dxa"/>
            </w:tcMar>
            <w:vAlign w:val="center"/>
            <w:shd w:fill="E8F0FA" w:val="clear"/>
          </w:tcPr>
          <w:p>
            <w:pPr>
              <w:spacing w:after="0"/>
              <w:jc w:val="left"/>
            </w:pPr>
            <w:r>
              <w:rPr>
                <w:rFonts w:ascii="Calibri" w:hAnsi="Calibri"/>
                <w:b/>
                <w:color w:val="17365D"/>
                <w:sz w:val="19"/>
              </w:rPr>
              <w:t>Event family</w:t>
            </w:r>
          </w:p>
        </w:tc>
        <w:tc>
          <w:tcPr>
            <w:tcW w:type="dxa" w:w="4200"/>
            <w:tcMar>
              <w:top w:w="80" w:type="dxa"/>
              <w:start w:w="120" w:type="dxa"/>
              <w:bottom w:w="80" w:type="dxa"/>
              <w:end w:w="120" w:type="dxa"/>
            </w:tcMar>
            <w:vAlign w:val="center"/>
            <w:shd w:fill="E8F0FA" w:val="clear"/>
          </w:tcPr>
          <w:p>
            <w:pPr>
              <w:spacing w:after="0"/>
              <w:jc w:val="left"/>
            </w:pPr>
            <w:r>
              <w:rPr>
                <w:rFonts w:ascii="Calibri" w:hAnsi="Calibri"/>
                <w:b/>
                <w:color w:val="17365D"/>
                <w:sz w:val="19"/>
              </w:rPr>
              <w:t>Representative events</w:t>
            </w:r>
          </w:p>
        </w:tc>
        <w:tc>
          <w:tcPr>
            <w:tcW w:type="dxa" w:w="3460"/>
            <w:tcMar>
              <w:top w:w="80" w:type="dxa"/>
              <w:start w:w="120" w:type="dxa"/>
              <w:bottom w:w="80" w:type="dxa"/>
              <w:end w:w="120" w:type="dxa"/>
            </w:tcMar>
            <w:vAlign w:val="center"/>
            <w:shd w:fill="E8F0FA" w:val="clear"/>
          </w:tcPr>
          <w:p>
            <w:pPr>
              <w:spacing w:after="0"/>
              <w:jc w:val="left"/>
            </w:pPr>
            <w:r>
              <w:rPr>
                <w:rFonts w:ascii="Calibri" w:hAnsi="Calibri"/>
                <w:b/>
                <w:color w:val="17365D"/>
                <w:sz w:val="19"/>
              </w:rPr>
              <w:t>Primary UI effect</w:t>
            </w:r>
          </w:p>
        </w:tc>
      </w:tr>
      <w:tr>
        <w:trPr>
          <w:cantSplit w:val="true"/>
        </w:trPr>
        <w:tc>
          <w:tcPr>
            <w:tcW w:type="dxa" w:w="1700"/>
          </w:tcPr>
          <w:p>
            <w:pPr>
              <w:spacing w:after="0" w:line="259" w:lineRule="auto"/>
            </w:pPr>
            <w:r>
              <w:rPr>
                <w:rFonts w:ascii="Calibri" w:hAnsi="Calibri"/>
                <w:color w:val="1B2638"/>
                <w:sz w:val="18"/>
              </w:rPr>
              <w:t>Run / user</w:t>
            </w:r>
          </w:p>
        </w:tc>
        <w:tc>
          <w:tcPr>
            <w:tcW w:type="dxa" w:w="4200"/>
          </w:tcPr>
          <w:p>
            <w:pPr>
              <w:spacing w:after="0" w:line="259" w:lineRule="auto"/>
            </w:pPr>
            <w:r>
              <w:rPr>
                <w:rFonts w:ascii="Calibri" w:hAnsi="Calibri"/>
                <w:color w:val="1B2638"/>
                <w:sz w:val="18"/>
              </w:rPr>
              <w:t>RunConfigured, RunStarted, UserMessageSubmitted, RunCompleted</w:t>
            </w:r>
          </w:p>
        </w:tc>
        <w:tc>
          <w:tcPr>
            <w:tcW w:type="dxa" w:w="3460"/>
          </w:tcPr>
          <w:p>
            <w:pPr>
              <w:spacing w:after="0" w:line="259" w:lineRule="auto"/>
            </w:pPr>
            <w:r>
              <w:rPr>
                <w:rFonts w:ascii="Calibri" w:hAnsi="Calibri"/>
                <w:color w:val="1B2638"/>
                <w:sz w:val="18"/>
              </w:rPr>
              <w:t>Header, user arrow, run status.</w:t>
            </w:r>
          </w:p>
        </w:tc>
      </w:tr>
      <w:tr>
        <w:trPr>
          <w:cantSplit w:val="true"/>
        </w:trPr>
        <w:tc>
          <w:tcPr>
            <w:tcW w:type="dxa" w:w="1700"/>
          </w:tcPr>
          <w:p>
            <w:pPr>
              <w:spacing w:after="0" w:line="259" w:lineRule="auto"/>
            </w:pPr>
            <w:r>
              <w:rPr>
                <w:rFonts w:ascii="Calibri" w:hAnsi="Calibri"/>
                <w:color w:val="1B2638"/>
                <w:sz w:val="18"/>
              </w:rPr>
              <w:t>Agent / model</w:t>
            </w:r>
          </w:p>
        </w:tc>
        <w:tc>
          <w:tcPr>
            <w:tcW w:type="dxa" w:w="4200"/>
          </w:tcPr>
          <w:p>
            <w:pPr>
              <w:spacing w:after="0" w:line="259" w:lineRule="auto"/>
            </w:pPr>
            <w:r>
              <w:rPr>
                <w:rFonts w:ascii="Calibri" w:hAnsi="Calibri"/>
                <w:color w:val="1B2638"/>
                <w:sz w:val="18"/>
              </w:rPr>
              <w:t>ModelRequestStarted, ModelResponseReceived, AgentAnswerProduced</w:t>
            </w:r>
          </w:p>
        </w:tc>
        <w:tc>
          <w:tcPr>
            <w:tcW w:type="dxa" w:w="3460"/>
          </w:tcPr>
          <w:p>
            <w:pPr>
              <w:spacing w:after="0" w:line="259" w:lineRule="auto"/>
            </w:pPr>
            <w:r>
              <w:rPr>
                <w:rFonts w:ascii="Calibri" w:hAnsi="Calibri"/>
                <w:color w:val="1B2638"/>
                <w:sz w:val="18"/>
              </w:rPr>
              <w:t>Working state, turn boundary, chat.</w:t>
            </w:r>
          </w:p>
        </w:tc>
      </w:tr>
      <w:tr>
        <w:trPr>
          <w:cantSplit w:val="true"/>
        </w:trPr>
        <w:tc>
          <w:tcPr>
            <w:tcW w:type="dxa" w:w="1700"/>
          </w:tcPr>
          <w:p>
            <w:pPr>
              <w:spacing w:after="0" w:line="259" w:lineRule="auto"/>
            </w:pPr>
            <w:r>
              <w:rPr>
                <w:rFonts w:ascii="Calibri" w:hAnsi="Calibri"/>
                <w:color w:val="1B2638"/>
                <w:sz w:val="18"/>
              </w:rPr>
              <w:t>MCP</w:t>
            </w:r>
          </w:p>
        </w:tc>
        <w:tc>
          <w:tcPr>
            <w:tcW w:type="dxa" w:w="4200"/>
          </w:tcPr>
          <w:p>
            <w:pPr>
              <w:spacing w:after="0" w:line="259" w:lineRule="auto"/>
            </w:pPr>
            <w:r>
              <w:rPr>
                <w:rFonts w:ascii="Calibri" w:hAnsi="Calibri"/>
                <w:color w:val="1B2638"/>
                <w:sz w:val="18"/>
              </w:rPr>
              <w:t>McpProcessStarting, SessionReady, ToolStarted, ResultReceived</w:t>
            </w:r>
          </w:p>
        </w:tc>
        <w:tc>
          <w:tcPr>
            <w:tcW w:type="dxa" w:w="3460"/>
          </w:tcPr>
          <w:p>
            <w:pPr>
              <w:spacing w:after="0" w:line="259" w:lineRule="auto"/>
            </w:pPr>
            <w:r>
              <w:rPr>
                <w:rFonts w:ascii="Calibri" w:hAnsi="Calibri"/>
                <w:color w:val="1B2638"/>
                <w:sz w:val="18"/>
              </w:rPr>
              <w:t>Process badge, untrusted route, result preview.</w:t>
            </w:r>
          </w:p>
        </w:tc>
      </w:tr>
      <w:tr>
        <w:trPr>
          <w:cantSplit w:val="true"/>
        </w:trPr>
        <w:tc>
          <w:tcPr>
            <w:tcW w:type="dxa" w:w="1700"/>
          </w:tcPr>
          <w:p>
            <w:pPr>
              <w:spacing w:after="0" w:line="259" w:lineRule="auto"/>
            </w:pPr>
            <w:r>
              <w:rPr>
                <w:rFonts w:ascii="Calibri" w:hAnsi="Calibri"/>
                <w:color w:val="1B2638"/>
                <w:sz w:val="18"/>
              </w:rPr>
              <w:t>Tool</w:t>
            </w:r>
          </w:p>
        </w:tc>
        <w:tc>
          <w:tcPr>
            <w:tcW w:type="dxa" w:w="4200"/>
          </w:tcPr>
          <w:p>
            <w:pPr>
              <w:spacing w:after="0" w:line="259" w:lineRule="auto"/>
            </w:pPr>
            <w:r>
              <w:rPr>
                <w:rFonts w:ascii="Calibri" w:hAnsi="Calibri"/>
                <w:color w:val="1B2638"/>
                <w:sz w:val="18"/>
              </w:rPr>
              <w:t>ToolProposed, ToolExecutionStarted, ToolCompleted, EffectRecorded</w:t>
            </w:r>
          </w:p>
        </w:tc>
        <w:tc>
          <w:tcPr>
            <w:tcW w:type="dxa" w:w="3460"/>
          </w:tcPr>
          <w:p>
            <w:pPr>
              <w:spacing w:after="0" w:line="259" w:lineRule="auto"/>
            </w:pPr>
            <w:r>
              <w:rPr>
                <w:rFonts w:ascii="Calibri" w:hAnsi="Calibri"/>
                <w:color w:val="1B2638"/>
                <w:sz w:val="18"/>
              </w:rPr>
              <w:t>Call arrow, tool card, ground-truth effect count.</w:t>
            </w:r>
          </w:p>
        </w:tc>
      </w:tr>
      <w:tr>
        <w:trPr>
          <w:cantSplit w:val="true"/>
        </w:trPr>
        <w:tc>
          <w:tcPr>
            <w:tcW w:type="dxa" w:w="1700"/>
          </w:tcPr>
          <w:p>
            <w:pPr>
              <w:spacing w:after="0" w:line="259" w:lineRule="auto"/>
            </w:pPr>
            <w:r>
              <w:rPr>
                <w:rFonts w:ascii="Calibri" w:hAnsi="Calibri"/>
                <w:color w:val="1B2638"/>
                <w:sz w:val="18"/>
              </w:rPr>
              <w:t>Gate</w:t>
            </w:r>
          </w:p>
        </w:tc>
        <w:tc>
          <w:tcPr>
            <w:tcW w:type="dxa" w:w="4200"/>
          </w:tcPr>
          <w:p>
            <w:pPr>
              <w:spacing w:after="0" w:line="259" w:lineRule="auto"/>
            </w:pPr>
            <w:r>
              <w:rPr>
                <w:rFonts w:ascii="Calibri" w:hAnsi="Calibri"/>
                <w:color w:val="1B2638"/>
                <w:sz w:val="18"/>
              </w:rPr>
              <w:t>GateConfigured, BlockFinding, ResultWithheld</w:t>
            </w:r>
          </w:p>
        </w:tc>
        <w:tc>
          <w:tcPr>
            <w:tcW w:type="dxa" w:w="3460"/>
          </w:tcPr>
          <w:p>
            <w:pPr>
              <w:spacing w:after="0" w:line="259" w:lineRule="auto"/>
            </w:pPr>
            <w:r>
              <w:rPr>
                <w:rFonts w:ascii="Calibri" w:hAnsi="Calibri"/>
                <w:color w:val="1B2638"/>
                <w:sz w:val="18"/>
              </w:rPr>
              <w:t>Shield state, stopped route, policy reason.</w:t>
            </w:r>
          </w:p>
        </w:tc>
      </w:tr>
      <w:tr>
        <w:trPr>
          <w:cantSplit w:val="true"/>
        </w:trPr>
        <w:tc>
          <w:tcPr>
            <w:tcW w:type="dxa" w:w="1700"/>
          </w:tcPr>
          <w:p>
            <w:pPr>
              <w:spacing w:after="0" w:line="259" w:lineRule="auto"/>
            </w:pPr>
            <w:r>
              <w:rPr>
                <w:rFonts w:ascii="Calibri" w:hAnsi="Calibri"/>
                <w:color w:val="1B2638"/>
                <w:sz w:val="18"/>
              </w:rPr>
              <w:t>Containment</w:t>
            </w:r>
          </w:p>
        </w:tc>
        <w:tc>
          <w:tcPr>
            <w:tcW w:type="dxa" w:w="4200"/>
          </w:tcPr>
          <w:p>
            <w:pPr>
              <w:spacing w:after="0" w:line="259" w:lineRule="auto"/>
            </w:pPr>
            <w:r>
              <w:rPr>
                <w:rFonts w:ascii="Calibri" w:hAnsi="Calibri"/>
                <w:color w:val="1B2638"/>
                <w:sz w:val="18"/>
              </w:rPr>
              <w:t>OperatorDecisionRequested, ContainmentActivated, RetryRefused</w:t>
            </w:r>
          </w:p>
        </w:tc>
        <w:tc>
          <w:tcPr>
            <w:tcW w:type="dxa" w:w="3460"/>
          </w:tcPr>
          <w:p>
            <w:pPr>
              <w:spacing w:after="0" w:line="259" w:lineRule="auto"/>
            </w:pPr>
            <w:r>
              <w:rPr>
                <w:rFonts w:ascii="Calibri" w:hAnsi="Calibri"/>
                <w:color w:val="1B2638"/>
                <w:sz w:val="18"/>
              </w:rPr>
              <w:t>Operator step, lock badge, severed route.</w:t>
            </w:r>
          </w:p>
        </w:tc>
      </w:tr>
      <w:tr>
        <w:trPr>
          <w:cantSplit w:val="true"/>
        </w:trPr>
        <w:tc>
          <w:tcPr>
            <w:tcW w:type="dxa" w:w="1700"/>
          </w:tcPr>
          <w:p>
            <w:pPr>
              <w:spacing w:after="0" w:line="259" w:lineRule="auto"/>
            </w:pPr>
            <w:r>
              <w:rPr>
                <w:rFonts w:ascii="Calibri" w:hAnsi="Calibri"/>
                <w:color w:val="1B2638"/>
                <w:sz w:val="18"/>
              </w:rPr>
              <w:t>Oracle</w:t>
            </w:r>
          </w:p>
        </w:tc>
        <w:tc>
          <w:tcPr>
            <w:tcW w:type="dxa" w:w="4200"/>
          </w:tcPr>
          <w:p>
            <w:pPr>
              <w:spacing w:after="0" w:line="259" w:lineRule="auto"/>
            </w:pPr>
            <w:r>
              <w:rPr>
                <w:rFonts w:ascii="Calibri" w:hAnsi="Calibri"/>
                <w:color w:val="1B2638"/>
                <w:sz w:val="18"/>
              </w:rPr>
              <w:t>ClaimEvaluated, PhaseVerdict</w:t>
            </w:r>
          </w:p>
        </w:tc>
        <w:tc>
          <w:tcPr>
            <w:tcW w:type="dxa" w:w="3460"/>
          </w:tcPr>
          <w:p>
            <w:pPr>
              <w:spacing w:after="0" w:line="259" w:lineRule="auto"/>
            </w:pPr>
            <w:r>
              <w:rPr>
                <w:rFonts w:ascii="Calibri" w:hAnsi="Calibri"/>
                <w:color w:val="1B2638"/>
                <w:sz w:val="18"/>
              </w:rPr>
              <w:t>Evidence summary; never derived from UI colors.</w:t>
            </w:r>
          </w:p>
        </w:tc>
      </w:tr>
      <w:tr>
        <w:trPr>
          <w:cantSplit w:val="true"/>
        </w:trPr>
        <w:tc>
          <w:tcPr>
            <w:tcW w:type="dxa" w:w="1700"/>
          </w:tcPr>
          <w:p>
            <w:pPr>
              <w:spacing w:after="0" w:line="259" w:lineRule="auto"/>
            </w:pPr>
            <w:r>
              <w:rPr>
                <w:rFonts w:ascii="Calibri" w:hAnsi="Calibri"/>
                <w:color w:val="1B2638"/>
                <w:sz w:val="18"/>
              </w:rPr>
              <w:t>Evaluation</w:t>
            </w:r>
          </w:p>
        </w:tc>
        <w:tc>
          <w:tcPr>
            <w:tcW w:type="dxa" w:w="4200"/>
          </w:tcPr>
          <w:p>
            <w:pPr>
              <w:spacing w:after="0" w:line="259" w:lineRule="auto"/>
            </w:pPr>
            <w:r>
              <w:rPr>
                <w:rFonts w:ascii="Calibri" w:hAnsi="Calibri"/>
                <w:color w:val="1B2638"/>
                <w:sz w:val="18"/>
              </w:rPr>
              <w:t>ArmStarted, RunMeasured, ArmCompleted, ReportReady</w:t>
            </w:r>
          </w:p>
        </w:tc>
        <w:tc>
          <w:tcPr>
            <w:tcW w:type="dxa" w:w="3460"/>
          </w:tcPr>
          <w:p>
            <w:pPr>
              <w:spacing w:after="0" w:line="259" w:lineRule="auto"/>
            </w:pPr>
            <w:r>
              <w:rPr>
                <w:rFonts w:ascii="Calibri" w:hAnsi="Calibri"/>
                <w:color w:val="1B2638"/>
                <w:sz w:val="18"/>
              </w:rPr>
              <w:t>Experiment progress and live metrics.</w:t>
            </w:r>
          </w:p>
        </w:tc>
      </w:tr>
      <w:tr>
        <w:trPr>
          <w:cantSplit w:val="true"/>
        </w:trPr>
        <w:tc>
          <w:tcPr>
            <w:tcW w:type="dxa" w:w="1700"/>
          </w:tcPr>
          <w:p>
            <w:pPr>
              <w:spacing w:after="0" w:line="259" w:lineRule="auto"/>
            </w:pPr>
            <w:r>
              <w:rPr>
                <w:rFonts w:ascii="Calibri" w:hAnsi="Calibri"/>
                <w:color w:val="1B2638"/>
                <w:sz w:val="18"/>
              </w:rPr>
              <w:t>Failure</w:t>
            </w:r>
          </w:p>
        </w:tc>
        <w:tc>
          <w:tcPr>
            <w:tcW w:type="dxa" w:w="4200"/>
          </w:tcPr>
          <w:p>
            <w:pPr>
              <w:spacing w:after="0" w:line="259" w:lineRule="auto"/>
            </w:pPr>
            <w:r>
              <w:rPr>
                <w:rFonts w:ascii="Calibri" w:hAnsi="Calibri"/>
                <w:color w:val="1B2638"/>
                <w:sz w:val="18"/>
              </w:rPr>
              <w:t>OperationFailed, CancellationRequested</w:t>
            </w:r>
          </w:p>
        </w:tc>
        <w:tc>
          <w:tcPr>
            <w:tcW w:type="dxa" w:w="3460"/>
          </w:tcPr>
          <w:p>
            <w:pPr>
              <w:spacing w:after="0" w:line="259" w:lineRule="auto"/>
            </w:pPr>
            <w:r>
              <w:rPr>
                <w:rFonts w:ascii="Calibri" w:hAnsi="Calibri"/>
                <w:color w:val="1B2638"/>
                <w:sz w:val="18"/>
              </w:rPr>
              <w:t>Diagnostic card and affected node.</w:t>
            </w:r>
          </w:p>
        </w:tc>
      </w:tr>
    </w:tbl>
    <w:p>
      <w:pPr>
        <w:pStyle w:val="Heading2"/>
        <w:keepNext/>
        <w:widowControl/>
      </w:pPr>
      <w:r>
        <w:t>Instrumentation points</w:t>
      </w:r>
    </w:p>
    <w:p>
      <w:pPr>
        <w:pStyle w:val="ListNumber"/>
        <w:widowControl/>
        <w:numPr>
          <w:ilvl w:val="0"/>
          <w:numId w:val="11"/>
        </w:numPr>
        <w:spacing w:after="80" w:line="290" w:lineRule="auto"/>
        <w:ind w:left="540" w:hanging="279"/>
      </w:pPr>
      <w:r>
        <w:rPr>
          <w:rFonts w:ascii="Calibri" w:hAnsi="Calibri"/>
          <w:color w:val="1B2638"/>
          <w:sz w:val="22"/>
        </w:rPr>
        <w:t>PartnerDeskRunner publishes run lifecycle, phase configuration, MCP restart, containment operator step, retry, final answer, and oracle events.</w:t>
      </w:r>
    </w:p>
    <w:p>
      <w:pPr>
        <w:pStyle w:val="ListNumber"/>
        <w:widowControl/>
        <w:numPr>
          <w:ilvl w:val="0"/>
          <w:numId w:val="11"/>
        </w:numPr>
        <w:spacing w:after="80" w:line="290" w:lineRule="auto"/>
        <w:ind w:left="540" w:hanging="279"/>
      </w:pPr>
      <w:r>
        <w:rPr>
          <w:rFonts w:ascii="Calibri" w:hAnsi="Calibri"/>
          <w:color w:val="1B2638"/>
          <w:sz w:val="22"/>
        </w:rPr>
        <w:t>RecordingChatClient publishes model request start/end and records visible tool proposals before Gatekeeper.</w:t>
      </w:r>
    </w:p>
    <w:p>
      <w:pPr>
        <w:pStyle w:val="ListNumber"/>
        <w:widowControl/>
        <w:numPr>
          <w:ilvl w:val="0"/>
          <w:numId w:val="11"/>
        </w:numPr>
        <w:spacing w:after="80" w:line="290" w:lineRule="auto"/>
        <w:ind w:left="540" w:hanging="279"/>
      </w:pPr>
      <w:r>
        <w:rPr>
          <w:rFonts w:ascii="Calibri" w:hAnsi="Calibri"/>
          <w:color w:val="1B2638"/>
          <w:sz w:val="22"/>
        </w:rPr>
        <w:t>ToolCallJournal publishes proposals and enforced findings. An actual tool-start event proves that pre-execution gates allowed the call; the UI should label this as a derived pass if no explicit allow verdict exists.</w:t>
      </w:r>
    </w:p>
    <w:p>
      <w:pPr>
        <w:pStyle w:val="ListNumber"/>
        <w:widowControl/>
        <w:numPr>
          <w:ilvl w:val="0"/>
          <w:numId w:val="11"/>
        </w:numPr>
        <w:spacing w:after="80" w:line="290" w:lineRule="auto"/>
        <w:ind w:left="540" w:hanging="279"/>
      </w:pPr>
      <w:r>
        <w:rPr>
          <w:rFonts w:ascii="Calibri" w:hAnsi="Calibri"/>
          <w:color w:val="1B2638"/>
          <w:sz w:val="22"/>
        </w:rPr>
        <w:t>NarratedMcpTool, PartnerDatabaseTool, and EmailTool publish started/completed events and bounded result/effect summaries. The ledger remains authoritative for what executed.</w:t>
      </w:r>
    </w:p>
    <w:p>
      <w:pPr>
        <w:pStyle w:val="ListNumber"/>
        <w:widowControl/>
        <w:numPr>
          <w:ilvl w:val="0"/>
          <w:numId w:val="11"/>
        </w:numPr>
        <w:spacing w:after="80" w:line="290" w:lineRule="auto"/>
        <w:ind w:left="540" w:hanging="279"/>
      </w:pPr>
      <w:r>
        <w:rPr>
          <w:rFonts w:ascii="Calibri" w:hAnsi="Calibri"/>
          <w:color w:val="1B2638"/>
          <w:sz w:val="22"/>
        </w:rPr>
        <w:t>PartnerDeskEvaluator publishes typed per-run progress and ArmResult completion rather than only Action&lt;string&gt; lines.</w:t>
      </w:r>
    </w:p>
    <w:p>
      <w:pPr>
        <w:pStyle w:val="Heading2"/>
        <w:keepNext/>
        <w:widowControl/>
      </w:pPr>
      <w:r>
        <w:t>Event delivery and replay</w:t>
      </w:r>
    </w:p>
    <w:p>
      <w:pPr>
        <w:widowControl/>
      </w:pPr>
      <w:r>
        <w:rPr>
          <w:rFonts w:ascii="Calibri" w:hAnsi="Calibri"/>
          <w:color w:val="1B2638"/>
          <w:sz w:val="22"/>
        </w:rPr>
        <w:t>Use a bounded Channel&lt;PartnerDeskEvent&gt; with explicit backpressure for critical events and coalescing only for cosmetic progress. A reducer applies events idempotently by sequence to ScenarioGraphRunState. Persist a redacted JSONL trace per run; load the same trace for replay and post-demo inspection.</w:t>
      </w:r>
    </w:p>
    <w:p>
      <w:pPr>
        <w:widowControl/>
      </w:pPr>
      <w:r>
        <w:rPr>
          <w:rFonts w:ascii="Calibri" w:hAnsi="Calibri"/>
          <w:color w:val="1B2638"/>
          <w:sz w:val="22"/>
        </w:rPr>
        <w:t>The UI thread receives small immutable projections. Large payloads stay behind a bounded payload store keyed by event ID. This keeps a 100-row synthetic register extract from flooding the visual tree while still allowing an explicit preview.</w:t>
      </w:r>
    </w:p>
    <w:p>
      <w:pPr>
        <w:pStyle w:val="Heading1"/>
        <w:keepNext/>
        <w:widowControl/>
      </w:pPr>
      <w:r>
        <w:t>7. Solution and import strategy</w:t>
      </w:r>
    </w:p>
    <w:p>
      <w:pPr>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RECOMMENDED BASELINE  </w:t>
      </w:r>
      <w:r>
        <w:rPr>
          <w:rFonts w:ascii="Calibri" w:hAnsi="Calibri"/>
          <w:color w:val="1B2638"/>
          <w:sz w:val="21"/>
        </w:rPr>
        <w:t>Pin provenance to the inspected upstream commit, import the two sample projects and their tests, and make the offline self-test pass before changing runtime behavior.</w:t>
      </w:r>
    </w:p>
    <w:p>
      <w:pPr>
        <w:widowControl/>
      </w:pPr>
      <w:r>
        <w:rPr>
          <w:rFonts w:ascii="Calibri" w:hAnsi="Calibri"/>
          <w:color w:val="1B2638"/>
          <w:sz w:val="22"/>
        </w:rPr>
        <w:t>Preserve upstream names in the first slice so diffs remain understandable and the demo executable can continue to launch itself as the MCP child process. Add the Avalonia application beside it rather than folding the scenario into the UI project.</w:t>
      </w:r>
    </w:p>
    <w:p>
      <w:pPr>
        <w:widowControl/>
        <w:spacing w:line="259" w:lineRule="auto"/>
      </w:pPr>
      <w:r>
        <w:rPr>
          <w:rFonts w:ascii="Cascadia Mono" w:hAnsi="Cascadia Mono"/>
          <w:b/>
          <w:color w:val="17365D"/>
          <w:sz w:val="19"/>
        </w:rPr>
        <w:t>GatekeeperDemo.sln</w:t>
        <w:br/>
      </w:r>
      <w:r>
        <w:rPr>
          <w:rFonts w:ascii="Cascadia Mono" w:hAnsi="Cascadia Mono"/>
          <w:color w:val="1B2638"/>
          <w:sz w:val="18"/>
        </w:rPr>
        <w:t>src/AgentEval.PartnerDeskDemo/              upstream scenario + CLI + MCP host</w:t>
        <w:br/>
        <w:t>src/AgentEval.PartnerDeskDemo.Evals/        reusable evaluator + thin CLI</w:t>
        <w:br/>
        <w:t>src/GatekeeperDemo.App/                     Avalonia UI, reducers, presentation</w:t>
        <w:br/>
        <w:t>tests/AgentEval.PartnerDeskDemo.Tests/       imported deterministic invariants</w:t>
        <w:br/>
        <w:t>tests/GatekeeperDemo.App.Tests/              event reducer and view-structure tests</w:t>
        <w:br/>
        <w:t>docs/                                        proposal, provenance, runbook</w:t>
      </w:r>
    </w:p>
    <w:p>
      <w:pPr>
        <w:pStyle w:val="Heading2"/>
        <w:keepNext/>
        <w:widowControl/>
      </w:pPr>
      <w:r>
        <w:t>Copy, adapt, and avoid</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3920"/>
        <w:gridCol w:w="3940"/>
      </w:tblGrid>
      <w:tr>
        <w:trPr>
          <w:tblHeader w:val="true"/>
          <w:cantSplit w:val="true"/>
        </w:trPr>
        <w:tc>
          <w:tcPr>
            <w:tcW w:type="dxa" w:w="1500"/>
            <w:tcMar>
              <w:top w:w="80" w:type="dxa"/>
              <w:start w:w="120" w:type="dxa"/>
              <w:bottom w:w="80" w:type="dxa"/>
              <w:end w:w="120" w:type="dxa"/>
            </w:tcMar>
            <w:vAlign w:val="center"/>
            <w:shd w:fill="E8F0FA" w:val="clear"/>
          </w:tcPr>
          <w:p>
            <w:pPr>
              <w:spacing w:after="0"/>
              <w:jc w:val="left"/>
            </w:pPr>
            <w:r>
              <w:rPr>
                <w:rFonts w:ascii="Calibri" w:hAnsi="Calibri"/>
                <w:b/>
                <w:color w:val="17365D"/>
                <w:sz w:val="19"/>
              </w:rPr>
              <w:t>Disposition</w:t>
            </w:r>
          </w:p>
        </w:tc>
        <w:tc>
          <w:tcPr>
            <w:tcW w:type="dxa" w:w="3920"/>
            <w:tcMar>
              <w:top w:w="80" w:type="dxa"/>
              <w:start w:w="120" w:type="dxa"/>
              <w:bottom w:w="80" w:type="dxa"/>
              <w:end w:w="120" w:type="dxa"/>
            </w:tcMar>
            <w:vAlign w:val="center"/>
            <w:shd w:fill="E8F0FA" w:val="clear"/>
          </w:tcPr>
          <w:p>
            <w:pPr>
              <w:spacing w:after="0"/>
              <w:jc w:val="left"/>
            </w:pPr>
            <w:r>
              <w:rPr>
                <w:rFonts w:ascii="Calibri" w:hAnsi="Calibri"/>
                <w:b/>
                <w:color w:val="17365D"/>
                <w:sz w:val="19"/>
              </w:rPr>
              <w:t>Items</w:t>
            </w:r>
          </w:p>
        </w:tc>
        <w:tc>
          <w:tcPr>
            <w:tcW w:type="dxa" w:w="3940"/>
            <w:tcMar>
              <w:top w:w="80" w:type="dxa"/>
              <w:start w:w="120" w:type="dxa"/>
              <w:bottom w:w="80" w:type="dxa"/>
              <w:end w:w="120" w:type="dxa"/>
            </w:tcMar>
            <w:vAlign w:val="center"/>
            <w:shd w:fill="E8F0FA" w:val="clear"/>
          </w:tcPr>
          <w:p>
            <w:pPr>
              <w:spacing w:after="0"/>
              <w:jc w:val="left"/>
            </w:pPr>
            <w:r>
              <w:rPr>
                <w:rFonts w:ascii="Calibri" w:hAnsi="Calibri"/>
                <w:b/>
                <w:color w:val="17365D"/>
                <w:sz w:val="19"/>
              </w:rPr>
              <w:t>Reason</w:t>
            </w:r>
          </w:p>
        </w:tc>
      </w:tr>
      <w:tr>
        <w:trPr>
          <w:cantSplit w:val="true"/>
        </w:trPr>
        <w:tc>
          <w:tcPr>
            <w:tcW w:type="dxa" w:w="1500"/>
          </w:tcPr>
          <w:p>
            <w:pPr>
              <w:spacing w:after="0" w:line="259" w:lineRule="auto"/>
            </w:pPr>
            <w:r>
              <w:rPr>
                <w:rFonts w:ascii="Calibri" w:hAnsi="Calibri"/>
                <w:color w:val="1B2638"/>
                <w:sz w:val="18"/>
              </w:rPr>
              <w:t>Copy first</w:t>
            </w:r>
          </w:p>
        </w:tc>
        <w:tc>
          <w:tcPr>
            <w:tcW w:type="dxa" w:w="3920"/>
          </w:tcPr>
          <w:p>
            <w:pPr>
              <w:spacing w:after="0" w:line="259" w:lineRule="auto"/>
            </w:pPr>
            <w:r>
              <w:rPr>
                <w:rFonts w:ascii="Calibri" w:hAnsi="Calibri"/>
                <w:color w:val="1B2638"/>
                <w:sz w:val="18"/>
              </w:rPr>
              <w:t>Agent, Data, Demo runtime, Gates, Mcp, Tools, manifest; Evals metrics; upstream tests.</w:t>
            </w:r>
          </w:p>
        </w:tc>
        <w:tc>
          <w:tcPr>
            <w:tcW w:type="dxa" w:w="3940"/>
          </w:tcPr>
          <w:p>
            <w:pPr>
              <w:spacing w:after="0" w:line="259" w:lineRule="auto"/>
            </w:pPr>
            <w:r>
              <w:rPr>
                <w:rFonts w:ascii="Calibri" w:hAnsi="Calibri"/>
                <w:color w:val="1B2638"/>
                <w:sz w:val="18"/>
              </w:rPr>
              <w:t>These define the scenario, protection, evidence, and measured claims.</w:t>
            </w:r>
          </w:p>
        </w:tc>
      </w:tr>
      <w:tr>
        <w:trPr>
          <w:cantSplit w:val="true"/>
        </w:trPr>
        <w:tc>
          <w:tcPr>
            <w:tcW w:type="dxa" w:w="1500"/>
          </w:tcPr>
          <w:p>
            <w:pPr>
              <w:spacing w:after="0" w:line="259" w:lineRule="auto"/>
            </w:pPr>
            <w:r>
              <w:rPr>
                <w:rFonts w:ascii="Calibri" w:hAnsi="Calibri"/>
                <w:color w:val="1B2638"/>
                <w:sz w:val="18"/>
              </w:rPr>
              <w:t>Adapt carefully</w:t>
            </w:r>
          </w:p>
        </w:tc>
        <w:tc>
          <w:tcPr>
            <w:tcW w:type="dxa" w:w="3920"/>
          </w:tcPr>
          <w:p>
            <w:pPr>
              <w:spacing w:after="0" w:line="259" w:lineRule="auto"/>
            </w:pPr>
            <w:r>
              <w:rPr>
                <w:rFonts w:ascii="Calibri" w:hAnsi="Calibri"/>
                <w:color w:val="1B2638"/>
                <w:sz w:val="18"/>
              </w:rPr>
              <w:t>Program/DemoOutput, PartnerDeskRunner, RecordingChatClient, PartnerDeskEvaluator, packaging.</w:t>
            </w:r>
          </w:p>
        </w:tc>
        <w:tc>
          <w:tcPr>
            <w:tcW w:type="dxa" w:w="3940"/>
          </w:tcPr>
          <w:p>
            <w:pPr>
              <w:spacing w:after="0" w:line="259" w:lineRule="auto"/>
            </w:pPr>
            <w:r>
              <w:rPr>
                <w:rFonts w:ascii="Calibri" w:hAnsi="Calibri"/>
                <w:color w:val="1B2638"/>
                <w:sz w:val="18"/>
              </w:rPr>
              <w:t>Add typed events and in-process services while preserving the console and MCP host.</w:t>
            </w:r>
          </w:p>
        </w:tc>
      </w:tr>
      <w:tr>
        <w:trPr>
          <w:cantSplit w:val="true"/>
        </w:trPr>
        <w:tc>
          <w:tcPr>
            <w:tcW w:type="dxa" w:w="1500"/>
          </w:tcPr>
          <w:p>
            <w:pPr>
              <w:spacing w:after="0" w:line="259" w:lineRule="auto"/>
            </w:pPr>
            <w:r>
              <w:rPr>
                <w:rFonts w:ascii="Calibri" w:hAnsi="Calibri"/>
                <w:color w:val="1B2638"/>
                <w:sz w:val="18"/>
              </w:rPr>
              <w:t>Reuse patterns</w:t>
            </w:r>
          </w:p>
        </w:tc>
        <w:tc>
          <w:tcPr>
            <w:tcW w:type="dxa" w:w="3920"/>
          </w:tcPr>
          <w:p>
            <w:pPr>
              <w:spacing w:after="0" w:line="259" w:lineRule="auto"/>
            </w:pPr>
            <w:r>
              <w:rPr>
                <w:rFonts w:ascii="Calibri" w:hAnsi="Calibri"/>
                <w:color w:val="1B2638"/>
                <w:sz w:val="18"/>
              </w:rPr>
              <w:t>Composer semantic tones, graph/log split, auto-follow, safe diagnostics, event reduction.</w:t>
            </w:r>
          </w:p>
        </w:tc>
        <w:tc>
          <w:tcPr>
            <w:tcW w:type="dxa" w:w="3940"/>
          </w:tcPr>
          <w:p>
            <w:pPr>
              <w:spacing w:after="0" w:line="259" w:lineRule="auto"/>
            </w:pPr>
            <w:r>
              <w:rPr>
                <w:rFonts w:ascii="Calibri" w:hAnsi="Calibri"/>
                <w:color w:val="1B2638"/>
                <w:sz w:val="18"/>
              </w:rPr>
              <w:t>They fit the interaction model but carry unrelated article/workflow domain assumptions.</w:t>
            </w:r>
          </w:p>
        </w:tc>
      </w:tr>
      <w:tr>
        <w:trPr>
          <w:cantSplit w:val="true"/>
        </w:trPr>
        <w:tc>
          <w:tcPr>
            <w:tcW w:type="dxa" w:w="1500"/>
          </w:tcPr>
          <w:p>
            <w:pPr>
              <w:spacing w:after="0" w:line="259" w:lineRule="auto"/>
            </w:pPr>
            <w:r>
              <w:rPr>
                <w:rFonts w:ascii="Calibri" w:hAnsi="Calibri"/>
                <w:color w:val="1B2638"/>
                <w:sz w:val="18"/>
              </w:rPr>
              <w:t>Do not copy</w:t>
            </w:r>
          </w:p>
        </w:tc>
        <w:tc>
          <w:tcPr>
            <w:tcW w:type="dxa" w:w="3920"/>
          </w:tcPr>
          <w:p>
            <w:pPr>
              <w:spacing w:after="0" w:line="259" w:lineRule="auto"/>
            </w:pPr>
            <w:r>
              <w:rPr>
                <w:rFonts w:ascii="Calibri" w:hAnsi="Calibri"/>
                <w:color w:val="1B2638"/>
                <w:sz w:val="18"/>
              </w:rPr>
              <w:t>Composer workflow reflection/persistence stack; entire AgentEval repository; console-output parsing.</w:t>
            </w:r>
          </w:p>
        </w:tc>
        <w:tc>
          <w:tcPr>
            <w:tcW w:type="dxa" w:w="3940"/>
          </w:tcPr>
          <w:p>
            <w:pPr>
              <w:spacing w:after="0" w:line="259" w:lineRule="auto"/>
            </w:pPr>
            <w:r>
              <w:rPr>
                <w:rFonts w:ascii="Calibri" w:hAnsi="Calibri"/>
                <w:color w:val="1B2638"/>
                <w:sz w:val="18"/>
              </w:rPr>
              <w:t>PartnerDesk has no workflow graph; broad vendoring and textual coupling create needless drift.</w:t>
            </w:r>
          </w:p>
        </w:tc>
      </w:tr>
    </w:tbl>
    <w:p>
      <w:pPr>
        <w:pStyle w:val="Heading2"/>
        <w:keepNext/>
        <w:widowControl/>
      </w:pPr>
      <w:r>
        <w:t>Dependency policy</w:t>
      </w:r>
    </w:p>
    <w:p>
      <w:pPr>
        <w:widowControl/>
      </w:pPr>
      <w:r>
        <w:rPr>
          <w:rFonts w:ascii="Calibri" w:hAnsi="Calibri"/>
          <w:color w:val="1B2638"/>
          <w:sz w:val="22"/>
        </w:rPr>
        <w:t>Prefer an exact AgentEval PackageReference only after Phase 0 proves that the package exposes the Gatekeeper API used by the inspected source. The upstream tree declares 0.28.0-beta, MAF 1.17.0, Microsoft.Extensions.AI 10.7.0, .NET SDK 10.0.100, and ModelContextProtocol.Core 1.4.0. Package availability and API parity must be verified, not assumed.</w:t>
      </w:r>
    </w:p>
    <w:p>
      <w:pPr>
        <w:widowControl/>
      </w:pPr>
      <w:r>
        <w:rPr>
          <w:rFonts w:ascii="Calibri" w:hAnsi="Calibri"/>
          <w:color w:val="1B2638"/>
          <w:sz w:val="22"/>
        </w:rPr>
        <w:t>If the exact package is unavailable or differs from the sample, use a temporary AgentEval git submodule pinned to the inspected commit. Do not hand-copy a partial set of internal AgentEval projects. Record the chosen source, commit/package version, license, and local modifications in UPSTREAM.md. The upstream license is MIT and its copyright notice must be retained.</w:t>
      </w:r>
    </w:p>
    <w:p>
      <w:pPr>
        <w:widowControl/>
      </w:pPr>
      <w:r>
        <w:rPr>
          <w:rFonts w:ascii="Calibri" w:hAnsi="Calibri"/>
          <w:color w:val="1B2638"/>
          <w:sz w:val="22"/>
        </w:rPr>
        <w:t>Use Avalonia 11.3.20 and the Inter font initially to align with the inspected Composer UI. Do not downgrade the PartnerDesk MAF stack to the Composer repository’s older 1.10.0 simply for visual-code reuse.</w:t>
      </w:r>
    </w:p>
    <w:p>
      <w:pPr>
        <w:pStyle w:val="Heading1"/>
        <w:keepNext/>
        <w:widowControl/>
      </w:pPr>
      <w:r>
        <w:t>8. Experiment workspace</w:t>
      </w:r>
    </w:p>
    <w:p>
      <w:pPr>
        <w:widowControl/>
      </w:pPr>
      <w:r>
        <w:rPr>
          <w:rFonts w:ascii="Calibri" w:hAnsi="Calibri"/>
          <w:color w:val="1B2638"/>
          <w:sz w:val="22"/>
        </w:rPr>
        <w:t>The Experiment tab should drive PartnerDeskEvaluator directly. Controls select arms, runs per arm, Scripted or Live provider, deployment, optional shadow judge, output JSON path, and cancellation. Runs stay sequential, matching the upstream design and avoiding cross-run MCP/outbox ambiguity.</w:t>
      </w:r>
    </w:p>
    <w:p>
      <w:pPr>
        <w:pStyle w:val="Heading2"/>
        <w:keepNext/>
        <w:widowControl/>
      </w:pPr>
      <w:r>
        <w:t>Result surface</w:t>
      </w:r>
    </w:p>
    <w:p>
      <w:pPr>
        <w:pStyle w:val="ListBullet"/>
        <w:widowControl/>
        <w:spacing w:after="80" w:line="290" w:lineRule="auto"/>
        <w:ind w:left="540" w:hanging="279"/>
      </w:pPr>
      <w:r>
        <w:rPr>
          <w:rFonts w:ascii="Calibri" w:hAnsi="Calibri"/>
          <w:color w:val="1B2638"/>
          <w:sz w:val="22"/>
        </w:rPr>
        <w:t>One row per phase with horizontal proportion bars and Wilson 95% whiskers for attempted, exfiltrated, poison withheld, source contained, retry refused, and oracle held.</w:t>
      </w:r>
    </w:p>
    <w:p>
      <w:pPr>
        <w:pStyle w:val="ListBullet"/>
        <w:widowControl/>
        <w:spacing w:after="80" w:line="290" w:lineRule="auto"/>
        <w:ind w:left="540" w:hanging="279"/>
      </w:pPr>
      <w:r>
        <w:rPr>
          <w:rFonts w:ascii="Calibri" w:hAnsi="Calibri"/>
          <w:color w:val="1B2638"/>
          <w:sz w:val="22"/>
        </w:rPr>
        <w:t>A run list underneath with attempted/exfiltrated/blocked/contained flags, elapsed time, errors, and a link to that run’s event replay.</w:t>
      </w:r>
    </w:p>
    <w:p>
      <w:pPr>
        <w:pStyle w:val="ListBullet"/>
        <w:widowControl/>
        <w:spacing w:after="80" w:line="290" w:lineRule="auto"/>
        <w:ind w:left="540" w:hanging="279"/>
      </w:pPr>
      <w:r>
        <w:rPr>
          <w:rFonts w:ascii="Calibri" w:hAnsi="Calibri"/>
          <w:color w:val="1B2638"/>
          <w:sz w:val="22"/>
        </w:rPr>
        <w:t>A thesis panel that mirrors the upstream report: susceptibility, Level 1 damage vs. attempts, Level 2 attempts vs. containment, and the deterministic gate-arm verdict.</w:t>
      </w:r>
    </w:p>
    <w:p>
      <w:pPr>
        <w:pStyle w:val="ListBullet"/>
        <w:widowControl/>
        <w:spacing w:after="80" w:line="290" w:lineRule="auto"/>
        <w:ind w:left="540" w:hanging="279"/>
      </w:pPr>
      <w:r>
        <w:rPr>
          <w:rFonts w:ascii="Calibri" w:hAnsi="Calibri"/>
          <w:color w:val="1B2638"/>
          <w:sz w:val="22"/>
        </w:rPr>
        <w:t>The shadow judge appears in a visually subordinate lane labeled uncalibrated and shadow-only; it never changes pass/fail styling.</w:t>
      </w:r>
    </w:p>
    <w:p>
      <w:pPr>
        <w:spacing w:before="120" w:after="200" w:line="283" w:lineRule="auto"/>
        <w:ind w:left="173" w:right="115"/>
        <w:shd w:fill="FFF4D6" w:val="clear"/>
        <w:widowControl/>
        <w:pBdr>
          <w:left w:val="single" w:sz="28" w:space="8" w:color="8A5A00"/>
        </w:pBdr>
      </w:pPr>
      <w:r>
        <w:rPr>
          <w:rFonts w:ascii="Calibri" w:hAnsi="Calibri"/>
          <w:b/>
          <w:color w:val="8A5A00"/>
          <w:sz w:val="20"/>
        </w:rPr>
        <w:t xml:space="preserve">STATISTICAL HONESTY  </w:t>
      </w:r>
      <w:r>
        <w:rPr>
          <w:rFonts w:ascii="Calibri" w:hAnsi="Calibri"/>
          <w:color w:val="1B2638"/>
          <w:sz w:val="21"/>
        </w:rPr>
        <w:t>For live providers, the UI must show completed denominators and skipped runs. Zero completed runs is not a green 0%; it is no evidence. Preserve the existing Wilson calculation and GateArmVerdict behavior.</w:t>
      </w:r>
    </w:p>
    <w:p>
      <w:pPr>
        <w:pStyle w:val="Heading1"/>
        <w:keepNext/>
        <w:widowControl/>
      </w:pPr>
      <w:r>
        <w:t>9. Implementation roadmap</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1500"/>
        <w:gridCol w:w="4700"/>
        <w:gridCol w:w="3160"/>
      </w:tblGrid>
      <w:tr>
        <w:trPr>
          <w:tblHeader w:val="true"/>
          <w:cantSplit w:val="true"/>
        </w:trPr>
        <w:tc>
          <w:tcPr>
            <w:tcW w:type="dxa" w:w="1500"/>
            <w:tcMar>
              <w:top w:w="80" w:type="dxa"/>
              <w:start w:w="120" w:type="dxa"/>
              <w:bottom w:w="80" w:type="dxa"/>
              <w:end w:w="120" w:type="dxa"/>
            </w:tcMar>
            <w:vAlign w:val="center"/>
            <w:shd w:fill="E8F0FA" w:val="clear"/>
          </w:tcPr>
          <w:p>
            <w:pPr>
              <w:spacing w:after="0"/>
              <w:jc w:val="left"/>
            </w:pPr>
            <w:r>
              <w:rPr>
                <w:rFonts w:ascii="Calibri" w:hAnsi="Calibri"/>
                <w:b/>
                <w:color w:val="17365D"/>
                <w:sz w:val="19"/>
              </w:rPr>
              <w:t>Phase</w:t>
            </w:r>
          </w:p>
        </w:tc>
        <w:tc>
          <w:tcPr>
            <w:tcW w:type="dxa" w:w="4700"/>
            <w:tcMar>
              <w:top w:w="80" w:type="dxa"/>
              <w:start w:w="120" w:type="dxa"/>
              <w:bottom w:w="80" w:type="dxa"/>
              <w:end w:w="120" w:type="dxa"/>
            </w:tcMar>
            <w:vAlign w:val="center"/>
            <w:shd w:fill="E8F0FA" w:val="clear"/>
          </w:tcPr>
          <w:p>
            <w:pPr>
              <w:spacing w:after="0"/>
              <w:jc w:val="left"/>
            </w:pPr>
            <w:r>
              <w:rPr>
                <w:rFonts w:ascii="Calibri" w:hAnsi="Calibri"/>
                <w:b/>
                <w:color w:val="17365D"/>
                <w:sz w:val="19"/>
              </w:rPr>
              <w:t>Deliverable</w:t>
            </w:r>
          </w:p>
        </w:tc>
        <w:tc>
          <w:tcPr>
            <w:tcW w:type="dxa" w:w="3160"/>
            <w:tcMar>
              <w:top w:w="80" w:type="dxa"/>
              <w:start w:w="120" w:type="dxa"/>
              <w:bottom w:w="80" w:type="dxa"/>
              <w:end w:w="120" w:type="dxa"/>
            </w:tcMar>
            <w:vAlign w:val="center"/>
            <w:shd w:fill="E8F0FA" w:val="clear"/>
          </w:tcPr>
          <w:p>
            <w:pPr>
              <w:spacing w:after="0"/>
              <w:jc w:val="left"/>
            </w:pPr>
            <w:r>
              <w:rPr>
                <w:rFonts w:ascii="Calibri" w:hAnsi="Calibri"/>
                <w:b/>
                <w:color w:val="17365D"/>
                <w:sz w:val="19"/>
              </w:rPr>
              <w:t>Exit gate</w:t>
            </w:r>
          </w:p>
        </w:tc>
      </w:tr>
      <w:tr>
        <w:trPr>
          <w:cantSplit w:val="true"/>
        </w:trPr>
        <w:tc>
          <w:tcPr>
            <w:tcW w:type="dxa" w:w="1500"/>
          </w:tcPr>
          <w:p>
            <w:pPr>
              <w:spacing w:after="0" w:line="259" w:lineRule="auto"/>
            </w:pPr>
            <w:r>
              <w:rPr>
                <w:rFonts w:ascii="Calibri" w:hAnsi="Calibri"/>
                <w:color w:val="1B2638"/>
                <w:sz w:val="18"/>
              </w:rPr>
              <w:t>0. Baseline import</w:t>
            </w:r>
          </w:p>
        </w:tc>
        <w:tc>
          <w:tcPr>
            <w:tcW w:type="dxa" w:w="4700"/>
          </w:tcPr>
          <w:p>
            <w:pPr>
              <w:spacing w:after="0" w:line="259" w:lineRule="auto"/>
            </w:pPr>
            <w:r>
              <w:rPr>
                <w:rFonts w:ascii="Calibri" w:hAnsi="Calibri"/>
                <w:color w:val="1B2638"/>
                <w:sz w:val="18"/>
              </w:rPr>
              <w:t>Pinned source, license/provenance, package/submodule decision, solution, console + eval + tests.</w:t>
            </w:r>
          </w:p>
        </w:tc>
        <w:tc>
          <w:tcPr>
            <w:tcW w:type="dxa" w:w="3160"/>
          </w:tcPr>
          <w:p>
            <w:pPr>
              <w:spacing w:after="0" w:line="259" w:lineRule="auto"/>
            </w:pPr>
            <w:r>
              <w:rPr>
                <w:rFonts w:ascii="Calibri" w:hAnsi="Calibri"/>
                <w:color w:val="1B2638"/>
                <w:sz w:val="18"/>
              </w:rPr>
              <w:t>Offline --all and Evals --offline --selftest pass; MCP boundary tests pass.</w:t>
            </w:r>
          </w:p>
        </w:tc>
      </w:tr>
      <w:tr>
        <w:trPr>
          <w:cantSplit w:val="true"/>
        </w:trPr>
        <w:tc>
          <w:tcPr>
            <w:tcW w:type="dxa" w:w="1500"/>
          </w:tcPr>
          <w:p>
            <w:pPr>
              <w:spacing w:after="0" w:line="259" w:lineRule="auto"/>
            </w:pPr>
            <w:r>
              <w:rPr>
                <w:rFonts w:ascii="Calibri" w:hAnsi="Calibri"/>
                <w:color w:val="1B2638"/>
                <w:sz w:val="18"/>
              </w:rPr>
              <w:t>1. Semantic events</w:t>
            </w:r>
          </w:p>
        </w:tc>
        <w:tc>
          <w:tcPr>
            <w:tcW w:type="dxa" w:w="4700"/>
          </w:tcPr>
          <w:p>
            <w:pPr>
              <w:spacing w:after="0" w:line="259" w:lineRule="auto"/>
            </w:pPr>
            <w:r>
              <w:rPr>
                <w:rFonts w:ascii="Calibri" w:hAnsi="Calibri"/>
                <w:color w:val="1B2638"/>
                <w:sz w:val="18"/>
              </w:rPr>
              <w:t>IDemoEventSink, event hub, safe payload/failure envelopes, JSONL, reducer, replay.</w:t>
            </w:r>
          </w:p>
        </w:tc>
        <w:tc>
          <w:tcPr>
            <w:tcW w:type="dxa" w:w="3160"/>
          </w:tcPr>
          <w:p>
            <w:pPr>
              <w:spacing w:after="0" w:line="259" w:lineRule="auto"/>
            </w:pPr>
            <w:r>
              <w:rPr>
                <w:rFonts w:ascii="Calibri" w:hAnsi="Calibri"/>
                <w:color w:val="1B2638"/>
                <w:sz w:val="18"/>
              </w:rPr>
              <w:t>Headless event order tests agree with PhaseOutcome; no console parsing.</w:t>
            </w:r>
          </w:p>
        </w:tc>
      </w:tr>
      <w:tr>
        <w:trPr>
          <w:cantSplit w:val="true"/>
        </w:trPr>
        <w:tc>
          <w:tcPr>
            <w:tcW w:type="dxa" w:w="1500"/>
          </w:tcPr>
          <w:p>
            <w:pPr>
              <w:spacing w:after="0" w:line="259" w:lineRule="auto"/>
            </w:pPr>
            <w:r>
              <w:rPr>
                <w:rFonts w:ascii="Calibri" w:hAnsi="Calibri"/>
                <w:color w:val="1B2638"/>
                <w:sz w:val="18"/>
              </w:rPr>
              <w:t>2. Avalonia shell</w:t>
            </w:r>
          </w:p>
        </w:tc>
        <w:tc>
          <w:tcPr>
            <w:tcW w:type="dxa" w:w="4700"/>
          </w:tcPr>
          <w:p>
            <w:pPr>
              <w:spacing w:after="0" w:line="259" w:lineRule="auto"/>
            </w:pPr>
            <w:r>
              <w:rPr>
                <w:rFonts w:ascii="Calibri" w:hAnsi="Calibri"/>
                <w:color w:val="1B2638"/>
                <w:sz w:val="18"/>
              </w:rPr>
              <w:t>Header, two-column layout, static graph, AI Events, chat/payload inspector, themes.</w:t>
            </w:r>
          </w:p>
        </w:tc>
        <w:tc>
          <w:tcPr>
            <w:tcW w:type="dxa" w:w="3160"/>
          </w:tcPr>
          <w:p>
            <w:pPr>
              <w:spacing w:after="0" w:line="259" w:lineRule="auto"/>
            </w:pPr>
            <w:r>
              <w:rPr>
                <w:rFonts w:ascii="Calibri" w:hAnsi="Calibri"/>
                <w:color w:val="1B2638"/>
                <w:sz w:val="18"/>
              </w:rPr>
              <w:t>All four offline phases are visually distinct and oracle-correct.</w:t>
            </w:r>
          </w:p>
        </w:tc>
      </w:tr>
      <w:tr>
        <w:trPr>
          <w:cantSplit w:val="true"/>
        </w:trPr>
        <w:tc>
          <w:tcPr>
            <w:tcW w:type="dxa" w:w="1500"/>
          </w:tcPr>
          <w:p>
            <w:pPr>
              <w:spacing w:after="0" w:line="259" w:lineRule="auto"/>
            </w:pPr>
            <w:r>
              <w:rPr>
                <w:rFonts w:ascii="Calibri" w:hAnsi="Calibri"/>
                <w:color w:val="1B2638"/>
                <w:sz w:val="18"/>
              </w:rPr>
              <w:t>3. Interaction</w:t>
            </w:r>
          </w:p>
        </w:tc>
        <w:tc>
          <w:tcPr>
            <w:tcW w:type="dxa" w:w="4700"/>
          </w:tcPr>
          <w:p>
            <w:pPr>
              <w:spacing w:after="0" w:line="259" w:lineRule="auto"/>
            </w:pPr>
            <w:r>
              <w:rPr>
                <w:rFonts w:ascii="Calibri" w:hAnsi="Calibri"/>
                <w:color w:val="1B2638"/>
                <w:sz w:val="18"/>
              </w:rPr>
              <w:t>Evil toggle, presets, global/per-gate Custom Lab, real-time/paced/step, selection sync.</w:t>
            </w:r>
          </w:p>
        </w:tc>
        <w:tc>
          <w:tcPr>
            <w:tcW w:type="dxa" w:w="3160"/>
          </w:tcPr>
          <w:p>
            <w:pPr>
              <w:spacing w:after="0" w:line="259" w:lineRule="auto"/>
            </w:pPr>
            <w:r>
              <w:rPr>
                <w:rFonts w:ascii="Calibri" w:hAnsi="Calibri"/>
                <w:color w:val="1B2638"/>
                <w:sz w:val="18"/>
              </w:rPr>
              <w:t>Controls configure exact snapshots; cancellation cleans MCP children.</w:t>
            </w:r>
          </w:p>
        </w:tc>
      </w:tr>
      <w:tr>
        <w:trPr>
          <w:cantSplit w:val="true"/>
        </w:trPr>
        <w:tc>
          <w:tcPr>
            <w:tcW w:type="dxa" w:w="1500"/>
          </w:tcPr>
          <w:p>
            <w:pPr>
              <w:spacing w:after="0" w:line="259" w:lineRule="auto"/>
            </w:pPr>
            <w:r>
              <w:rPr>
                <w:rFonts w:ascii="Calibri" w:hAnsi="Calibri"/>
                <w:color w:val="1B2638"/>
                <w:sz w:val="18"/>
              </w:rPr>
              <w:t>4. Experiment</w:t>
            </w:r>
          </w:p>
        </w:tc>
        <w:tc>
          <w:tcPr>
            <w:tcW w:type="dxa" w:w="4700"/>
          </w:tcPr>
          <w:p>
            <w:pPr>
              <w:spacing w:after="0" w:line="259" w:lineRule="auto"/>
            </w:pPr>
            <w:r>
              <w:rPr>
                <w:rFonts w:ascii="Calibri" w:hAnsi="Calibri"/>
                <w:color w:val="1B2638"/>
                <w:sz w:val="18"/>
              </w:rPr>
              <w:t>Evaluator service, arm progress, Wilson charts, run replay, JSON export.</w:t>
            </w:r>
          </w:p>
        </w:tc>
        <w:tc>
          <w:tcPr>
            <w:tcW w:type="dxa" w:w="3160"/>
          </w:tcPr>
          <w:p>
            <w:pPr>
              <w:spacing w:after="0" w:line="259" w:lineRule="auto"/>
            </w:pPr>
            <w:r>
              <w:rPr>
                <w:rFonts w:ascii="Calibri" w:hAnsi="Calibri"/>
                <w:color w:val="1B2638"/>
                <w:sz w:val="18"/>
              </w:rPr>
              <w:t>UI metrics equal core ArmResult and EvalReport JSON.</w:t>
            </w:r>
          </w:p>
        </w:tc>
      </w:tr>
      <w:tr>
        <w:trPr>
          <w:cantSplit w:val="true"/>
        </w:trPr>
        <w:tc>
          <w:tcPr>
            <w:tcW w:type="dxa" w:w="1500"/>
          </w:tcPr>
          <w:p>
            <w:pPr>
              <w:spacing w:after="0" w:line="259" w:lineRule="auto"/>
            </w:pPr>
            <w:r>
              <w:rPr>
                <w:rFonts w:ascii="Calibri" w:hAnsi="Calibri"/>
                <w:color w:val="1B2638"/>
                <w:sz w:val="18"/>
              </w:rPr>
              <w:t>5. Stage polish</w:t>
            </w:r>
          </w:p>
        </w:tc>
        <w:tc>
          <w:tcPr>
            <w:tcW w:type="dxa" w:w="4700"/>
          </w:tcPr>
          <w:p>
            <w:pPr>
              <w:spacing w:after="0" w:line="259" w:lineRule="auto"/>
            </w:pPr>
            <w:r>
              <w:rPr>
                <w:rFonts w:ascii="Calibri" w:hAnsi="Calibri"/>
                <w:color w:val="1B2638"/>
                <w:sz w:val="18"/>
              </w:rPr>
              <w:t>Projector mode, reduced motion, accessibility, diagnostics, rehearsal runbook.</w:t>
            </w:r>
          </w:p>
        </w:tc>
        <w:tc>
          <w:tcPr>
            <w:tcW w:type="dxa" w:w="3160"/>
          </w:tcPr>
          <w:p>
            <w:pPr>
              <w:spacing w:after="0" w:line="259" w:lineRule="auto"/>
            </w:pPr>
            <w:r>
              <w:rPr>
                <w:rFonts w:ascii="Calibri" w:hAnsi="Calibri"/>
                <w:color w:val="1B2638"/>
                <w:sz w:val="18"/>
              </w:rPr>
              <w:t>Visual smoke at 1280×800 and 1920×1080; no clipping; demo reset is reliable.</w:t>
            </w:r>
          </w:p>
        </w:tc>
      </w:tr>
    </w:tbl>
    <w:p>
      <w:pPr>
        <w:pStyle w:val="Heading2"/>
        <w:keepNext/>
        <w:widowControl/>
      </w:pPr>
      <w:r>
        <w:t>Suggested effort</w:t>
      </w:r>
    </w:p>
    <w:p>
      <w:pPr>
        <w:widowControl/>
      </w:pPr>
      <w:r>
        <w:rPr>
          <w:rFonts w:ascii="Calibri" w:hAnsi="Calibri"/>
          <w:color w:val="1B2638"/>
          <w:sz w:val="22"/>
        </w:rPr>
        <w:t>A realistic first polished slice is roughly two to three engineering weeks for one experienced .NET/Avalonia developer, assuming the AgentEval dependency resolves cleanly. The baseline import and semantic event layer are the uncertainty-reducing work; the visible graph should not begin until those exit gates hold.</w:t>
      </w:r>
    </w:p>
    <w:p>
      <w:pPr>
        <w:pStyle w:val="Heading1"/>
        <w:keepNext/>
        <w:widowControl/>
      </w:pPr>
      <w:r>
        <w:t>10. Verification and acceptance criteria</w:t>
      </w:r>
    </w:p>
    <w:p>
      <w:pPr>
        <w:pStyle w:val="Heading2"/>
        <w:keepNext/>
        <w:widowControl/>
      </w:pPr>
      <w:r>
        <w:t>Retain upstream tests</w:t>
      </w:r>
    </w:p>
    <w:p>
      <w:pPr>
        <w:pStyle w:val="ListBullet"/>
        <w:widowControl/>
        <w:spacing w:after="80" w:line="290" w:lineRule="auto"/>
        <w:ind w:left="540" w:hanging="279"/>
      </w:pPr>
      <w:r>
        <w:rPr>
          <w:rFonts w:ascii="Calibri" w:hAnsi="Calibri"/>
          <w:color w:val="1B2638"/>
          <w:sz w:val="22"/>
        </w:rPr>
        <w:t>Phase trajectory/effect/finding assertions for all four presets.</w:t>
      </w:r>
    </w:p>
    <w:p>
      <w:pPr>
        <w:pStyle w:val="ListBullet"/>
        <w:widowControl/>
        <w:spacing w:after="80" w:line="290" w:lineRule="auto"/>
        <w:ind w:left="540" w:hanging="279"/>
      </w:pPr>
      <w:r>
        <w:rPr>
          <w:rFonts w:ascii="Calibri" w:hAnsi="Calibri"/>
          <w:color w:val="1B2638"/>
          <w:sz w:val="22"/>
        </w:rPr>
        <w:t>Real MCP clean/poisoned boundary and byte-preserving addendum tests.</w:t>
      </w:r>
    </w:p>
    <w:p>
      <w:pPr>
        <w:pStyle w:val="ListBullet"/>
        <w:widowControl/>
        <w:spacing w:after="80" w:line="290" w:lineRule="auto"/>
        <w:ind w:left="540" w:hanging="279"/>
      </w:pPr>
      <w:r>
        <w:rPr>
          <w:rFonts w:ascii="Calibri" w:hAnsi="Calibri"/>
          <w:color w:val="1B2638"/>
          <w:sz w:val="22"/>
        </w:rPr>
        <w:t>Email-domain and database-limit hardening tests.</w:t>
      </w:r>
    </w:p>
    <w:p>
      <w:pPr>
        <w:pStyle w:val="ListBullet"/>
        <w:widowControl/>
        <w:spacing w:after="80" w:line="290" w:lineRule="auto"/>
        <w:ind w:left="540" w:hanging="279"/>
      </w:pPr>
      <w:r>
        <w:rPr>
          <w:rFonts w:ascii="Calibri" w:hAnsi="Calibri"/>
          <w:color w:val="1B2638"/>
          <w:sz w:val="22"/>
        </w:rPr>
        <w:t>Evaluation aggregation, Wilson interval, skipped-run, and vacuous-pass protections.</w:t>
      </w:r>
    </w:p>
    <w:p>
      <w:pPr>
        <w:pStyle w:val="ListBullet"/>
        <w:widowControl/>
        <w:spacing w:after="80" w:line="290" w:lineRule="auto"/>
        <w:ind w:left="540" w:hanging="279"/>
      </w:pPr>
      <w:r>
        <w:rPr>
          <w:rFonts w:ascii="Calibri" w:hAnsi="Calibri"/>
          <w:color w:val="1B2638"/>
          <w:sz w:val="22"/>
        </w:rPr>
        <w:t>Manifest and source-fakery guarantees.</w:t>
      </w:r>
    </w:p>
    <w:p>
      <w:pPr>
        <w:pStyle w:val="Heading2"/>
        <w:keepNext/>
        <w:widowControl/>
      </w:pPr>
      <w:r>
        <w:t>Add UI and observability tests</w:t>
      </w:r>
    </w:p>
    <w:p>
      <w:pPr>
        <w:pStyle w:val="ListNumber"/>
        <w:widowControl/>
        <w:numPr>
          <w:ilvl w:val="0"/>
          <w:numId w:val="12"/>
        </w:numPr>
        <w:spacing w:after="80" w:line="290" w:lineRule="auto"/>
        <w:ind w:left="540" w:hanging="279"/>
      </w:pPr>
      <w:r>
        <w:rPr>
          <w:rFonts w:ascii="Calibri" w:hAnsi="Calibri"/>
          <w:color w:val="1B2638"/>
          <w:sz w:val="22"/>
        </w:rPr>
        <w:t>Reducer tests: applying the same event twice is harmless; out-of-order or unknown IDs become visible diagnostics.</w:t>
      </w:r>
    </w:p>
    <w:p>
      <w:pPr>
        <w:pStyle w:val="ListNumber"/>
        <w:widowControl/>
        <w:numPr>
          <w:ilvl w:val="0"/>
          <w:numId w:val="12"/>
        </w:numPr>
        <w:spacing w:after="80" w:line="290" w:lineRule="auto"/>
        <w:ind w:left="540" w:hanging="279"/>
      </w:pPr>
      <w:r>
        <w:rPr>
          <w:rFonts w:ascii="Calibri" w:hAnsi="Calibri"/>
          <w:color w:val="1B2638"/>
          <w:sz w:val="22"/>
        </w:rPr>
        <w:t>State tests for every phase: exact active/blocked/executed edges and effect counts.</w:t>
      </w:r>
    </w:p>
    <w:p>
      <w:pPr>
        <w:pStyle w:val="ListNumber"/>
        <w:widowControl/>
        <w:numPr>
          <w:ilvl w:val="0"/>
          <w:numId w:val="12"/>
        </w:numPr>
        <w:spacing w:after="80" w:line="290" w:lineRule="auto"/>
        <w:ind w:left="540" w:hanging="279"/>
      </w:pPr>
      <w:r>
        <w:rPr>
          <w:rFonts w:ascii="Calibri" w:hAnsi="Calibri"/>
          <w:color w:val="1B2638"/>
          <w:sz w:val="22"/>
        </w:rPr>
        <w:t>Custom gate-configuration validation and snapshot-lock tests.</w:t>
      </w:r>
    </w:p>
    <w:p>
      <w:pPr>
        <w:pStyle w:val="ListNumber"/>
        <w:widowControl/>
        <w:numPr>
          <w:ilvl w:val="0"/>
          <w:numId w:val="12"/>
        </w:numPr>
        <w:spacing w:after="80" w:line="290" w:lineRule="auto"/>
        <w:ind w:left="540" w:hanging="279"/>
      </w:pPr>
      <w:r>
        <w:rPr>
          <w:rFonts w:ascii="Calibri" w:hAnsi="Calibri"/>
          <w:color w:val="1B2638"/>
          <w:sz w:val="22"/>
        </w:rPr>
        <w:t>Avalonia no-model view-structure tests for accessible names, two-column split, filters, inspector, and reduced motion.</w:t>
      </w:r>
    </w:p>
    <w:p>
      <w:pPr>
        <w:pStyle w:val="ListNumber"/>
        <w:widowControl/>
        <w:numPr>
          <w:ilvl w:val="0"/>
          <w:numId w:val="12"/>
        </w:numPr>
        <w:spacing w:after="80" w:line="290" w:lineRule="auto"/>
        <w:ind w:left="540" w:hanging="279"/>
      </w:pPr>
      <w:r>
        <w:rPr>
          <w:rFonts w:ascii="Calibri" w:hAnsi="Calibri"/>
          <w:color w:val="1B2638"/>
          <w:sz w:val="22"/>
        </w:rPr>
        <w:t>Process lifecycle tests: evil-mode restart, cancellation, failed handshake, UI close, and no orphan MCP process.</w:t>
      </w:r>
    </w:p>
    <w:p>
      <w:pPr>
        <w:pStyle w:val="ListNumber"/>
        <w:widowControl/>
        <w:numPr>
          <w:ilvl w:val="0"/>
          <w:numId w:val="12"/>
        </w:numPr>
        <w:spacing w:after="80" w:line="290" w:lineRule="auto"/>
        <w:ind w:left="540" w:hanging="279"/>
      </w:pPr>
      <w:r>
        <w:rPr>
          <w:rFonts w:ascii="Calibri" w:hAnsi="Calibri"/>
          <w:color w:val="1B2638"/>
          <w:sz w:val="22"/>
        </w:rPr>
        <w:t>Payload hygiene tests: bounded previews, redaction, no environment credentials, no hidden reasoning fields.</w:t>
      </w:r>
    </w:p>
    <w:p>
      <w:pPr>
        <w:pStyle w:val="Heading2"/>
        <w:keepNext/>
        <w:widowControl/>
      </w:pPr>
      <w:r>
        <w:t>Demo acceptance</w:t>
      </w:r>
    </w:p>
    <w:p>
      <w:pPr>
        <w:pStyle w:val="ListBullet"/>
        <w:widowControl/>
        <w:spacing w:after="80" w:line="290" w:lineRule="auto"/>
        <w:ind w:left="540" w:hanging="279"/>
      </w:pPr>
      <w:r>
        <w:rPr>
          <w:rFonts w:ascii="Calibri" w:hAnsi="Calibri"/>
          <w:color w:val="1B2638"/>
          <w:sz w:val="22"/>
        </w:rPr>
        <w:t>Phase 2: a solid red path reaches the database and external email; the effect ledger confirms at least 100 rows and an external send.</w:t>
      </w:r>
    </w:p>
    <w:p>
      <w:pPr>
        <w:pStyle w:val="ListBullet"/>
        <w:widowControl/>
        <w:spacing w:after="80" w:line="290" w:lineRule="auto"/>
        <w:ind w:left="540" w:hanging="279"/>
      </w:pPr>
      <w:r>
        <w:rPr>
          <w:rFonts w:ascii="Calibri" w:hAnsi="Calibri"/>
          <w:color w:val="1B2638"/>
          <w:sz w:val="22"/>
        </w:rPr>
        <w:t>Phase 3: dashed red intent stops at both tool shields; database and email effects remain zero for the attack.</w:t>
      </w:r>
    </w:p>
    <w:p>
      <w:pPr>
        <w:pStyle w:val="ListBullet"/>
        <w:widowControl/>
        <w:spacing w:after="80" w:line="290" w:lineRule="auto"/>
        <w:ind w:left="540" w:hanging="279"/>
      </w:pPr>
      <w:r>
        <w:rPr>
          <w:rFonts w:ascii="Calibri" w:hAnsi="Calibri"/>
          <w:color w:val="1B2638"/>
          <w:sz w:val="22"/>
        </w:rPr>
        <w:t>Phase 4: the result stops at admission; the agent never proposes the export; containment becomes active; retry is refused.</w:t>
      </w:r>
    </w:p>
    <w:p>
      <w:pPr>
        <w:pStyle w:val="ListBullet"/>
        <w:widowControl/>
        <w:spacing w:after="80" w:line="290" w:lineRule="auto"/>
        <w:ind w:left="540" w:hanging="279"/>
      </w:pPr>
      <w:r>
        <w:rPr>
          <w:rFonts w:ascii="Calibri" w:hAnsi="Calibri"/>
          <w:color w:val="1B2638"/>
          <w:sz w:val="22"/>
        </w:rPr>
        <w:t>The presenter can pause, step, replay, copy a safe trace, and reset without changing the oracle.</w:t>
      </w:r>
    </w:p>
    <w:p>
      <w:pPr>
        <w:pStyle w:val="ListBullet"/>
        <w:widowControl/>
        <w:spacing w:after="80" w:line="290" w:lineRule="auto"/>
        <w:ind w:left="540" w:hanging="279"/>
      </w:pPr>
      <w:r>
        <w:rPr>
          <w:rFonts w:ascii="Calibri" w:hAnsi="Calibri"/>
          <w:color w:val="1B2638"/>
          <w:sz w:val="22"/>
        </w:rPr>
        <w:t>The Experiment tab reports the same proportions and JSON as the headless evaluation code.</w:t>
      </w:r>
    </w:p>
    <w:p>
      <w:pPr>
        <w:pStyle w:val="Heading1"/>
        <w:keepNext/>
        <w:widowControl/>
      </w:pPr>
      <w:r>
        <w:t>11. Risks and design guardrails</w:t>
      </w:r>
    </w:p>
    <w:tbl>
      <w:tblPr>
        <w:tblStyle w:val="TableGrid"/>
        <w:tblW w:type="dxa" w:w="9360"/>
        <w:jc w:val="left"/>
        <w:tblLayout w:type="fixed"/>
        <w:tblLook w:firstColumn="1" w:firstRow="1" w:lastColumn="0" w:lastRow="0" w:noHBand="0" w:noVBand="1" w:val="04A0"/>
        <w:tblInd w:w="120" w:type="dxa"/>
        <w:tblBorders>
          <w:top w:val="single" w:sz="6" w:space="0" w:color="D8DEE7"/>
          <w:left w:val="single" w:sz="6" w:space="0" w:color="D8DEE7"/>
          <w:bottom w:val="single" w:sz="6" w:space="0" w:color="D8DEE7"/>
          <w:right w:val="single" w:sz="6" w:space="0" w:color="D8DEE7"/>
          <w:insideH w:val="single" w:sz="6" w:space="0" w:color="D8DEE7"/>
          <w:insideV w:val="single" w:sz="6" w:space="0" w:color="D8DEE7"/>
        </w:tblBorders>
      </w:tblPr>
      <w:tblGrid>
        <w:gridCol w:w="3200"/>
        <w:gridCol w:w="6160"/>
      </w:tblGrid>
      <w:tr>
        <w:trPr>
          <w:tblHeader w:val="true"/>
          <w:cantSplit w:val="true"/>
        </w:trPr>
        <w:tc>
          <w:tcPr>
            <w:tcW w:type="dxa" w:w="3200"/>
            <w:tcMar>
              <w:top w:w="80" w:type="dxa"/>
              <w:start w:w="120" w:type="dxa"/>
              <w:bottom w:w="80" w:type="dxa"/>
              <w:end w:w="120" w:type="dxa"/>
            </w:tcMar>
            <w:vAlign w:val="center"/>
            <w:shd w:fill="E8F0FA" w:val="clear"/>
          </w:tcPr>
          <w:p>
            <w:pPr>
              <w:spacing w:after="0"/>
              <w:jc w:val="left"/>
            </w:pPr>
            <w:r>
              <w:rPr>
                <w:rFonts w:ascii="Calibri" w:hAnsi="Calibri"/>
                <w:b/>
                <w:color w:val="17365D"/>
                <w:sz w:val="19"/>
              </w:rPr>
              <w:t>Risk</w:t>
            </w:r>
          </w:p>
        </w:tc>
        <w:tc>
          <w:tcPr>
            <w:tcW w:type="dxa" w:w="6160"/>
            <w:tcMar>
              <w:top w:w="80" w:type="dxa"/>
              <w:start w:w="120" w:type="dxa"/>
              <w:bottom w:w="80" w:type="dxa"/>
              <w:end w:w="120" w:type="dxa"/>
            </w:tcMar>
            <w:vAlign w:val="center"/>
            <w:shd w:fill="E8F0FA" w:val="clear"/>
          </w:tcPr>
          <w:p>
            <w:pPr>
              <w:spacing w:after="0"/>
              <w:jc w:val="left"/>
            </w:pPr>
            <w:r>
              <w:rPr>
                <w:rFonts w:ascii="Calibri" w:hAnsi="Calibri"/>
                <w:b/>
                <w:color w:val="17365D"/>
                <w:sz w:val="19"/>
              </w:rPr>
              <w:t>Guardrail</w:t>
            </w:r>
          </w:p>
        </w:tc>
      </w:tr>
      <w:tr>
        <w:trPr>
          <w:cantSplit w:val="true"/>
        </w:trPr>
        <w:tc>
          <w:tcPr>
            <w:tcW w:type="dxa" w:w="3200"/>
          </w:tcPr>
          <w:p>
            <w:pPr>
              <w:spacing w:after="0" w:line="259" w:lineRule="auto"/>
            </w:pPr>
            <w:r>
              <w:rPr>
                <w:rFonts w:ascii="Calibri" w:hAnsi="Calibri"/>
                <w:color w:val="1B2638"/>
                <w:sz w:val="18"/>
              </w:rPr>
              <w:t>Dependency drift between upstream main and NuGet</w:t>
            </w:r>
          </w:p>
        </w:tc>
        <w:tc>
          <w:tcPr>
            <w:tcW w:type="dxa" w:w="6160"/>
          </w:tcPr>
          <w:p>
            <w:pPr>
              <w:spacing w:after="0" w:line="259" w:lineRule="auto"/>
            </w:pPr>
            <w:r>
              <w:rPr>
                <w:rFonts w:ascii="Calibri" w:hAnsi="Calibri"/>
                <w:color w:val="1B2638"/>
                <w:sz w:val="18"/>
              </w:rPr>
              <w:t>Pin and prove Phase 0; fall back to an exact git submodule, not partial vendoring.</w:t>
            </w:r>
          </w:p>
        </w:tc>
      </w:tr>
      <w:tr>
        <w:trPr>
          <w:cantSplit w:val="true"/>
        </w:trPr>
        <w:tc>
          <w:tcPr>
            <w:tcW w:type="dxa" w:w="3200"/>
          </w:tcPr>
          <w:p>
            <w:pPr>
              <w:spacing w:after="0" w:line="259" w:lineRule="auto"/>
            </w:pPr>
            <w:r>
              <w:rPr>
                <w:rFonts w:ascii="Calibri" w:hAnsi="Calibri"/>
                <w:color w:val="1B2638"/>
                <w:sz w:val="18"/>
              </w:rPr>
              <w:t>UI accidentally becomes the oracle</w:t>
            </w:r>
          </w:p>
        </w:tc>
        <w:tc>
          <w:tcPr>
            <w:tcW w:type="dxa" w:w="6160"/>
          </w:tcPr>
          <w:p>
            <w:pPr>
              <w:spacing w:after="0" w:line="259" w:lineRule="auto"/>
            </w:pPr>
            <w:r>
              <w:rPr>
                <w:rFonts w:ascii="Calibri" w:hAnsi="Calibri"/>
                <w:color w:val="1B2638"/>
                <w:sz w:val="18"/>
              </w:rPr>
              <w:t>Keep PhaseOutcome, effect ledger, findings, and containment as independent sources; test agreement.</w:t>
            </w:r>
          </w:p>
        </w:tc>
      </w:tr>
      <w:tr>
        <w:trPr>
          <w:cantSplit w:val="true"/>
        </w:trPr>
        <w:tc>
          <w:tcPr>
            <w:tcW w:type="dxa" w:w="3200"/>
          </w:tcPr>
          <w:p>
            <w:pPr>
              <w:spacing w:after="0" w:line="259" w:lineRule="auto"/>
            </w:pPr>
            <w:r>
              <w:rPr>
                <w:rFonts w:ascii="Calibri" w:hAnsi="Calibri"/>
                <w:color w:val="1B2638"/>
                <w:sz w:val="18"/>
              </w:rPr>
              <w:t>Very fast tools make activity invisible</w:t>
            </w:r>
          </w:p>
        </w:tc>
        <w:tc>
          <w:tcPr>
            <w:tcW w:type="dxa" w:w="6160"/>
          </w:tcPr>
          <w:p>
            <w:pPr>
              <w:spacing w:after="0" w:line="259" w:lineRule="auto"/>
            </w:pPr>
            <w:r>
              <w:rPr>
                <w:rFonts w:ascii="Calibri" w:hAnsi="Calibri"/>
                <w:color w:val="1B2638"/>
                <w:sz w:val="18"/>
              </w:rPr>
              <w:t>Presentation pacing delays projection only; retain raw timestamps and outcomes.</w:t>
            </w:r>
          </w:p>
        </w:tc>
      </w:tr>
      <w:tr>
        <w:trPr>
          <w:cantSplit w:val="true"/>
        </w:trPr>
        <w:tc>
          <w:tcPr>
            <w:tcW w:type="dxa" w:w="3200"/>
          </w:tcPr>
          <w:p>
            <w:pPr>
              <w:spacing w:after="0" w:line="259" w:lineRule="auto"/>
            </w:pPr>
            <w:r>
              <w:rPr>
                <w:rFonts w:ascii="Calibri" w:hAnsi="Calibri"/>
                <w:color w:val="1B2638"/>
                <w:sz w:val="18"/>
              </w:rPr>
              <w:t>A live model does not follow the injection</w:t>
            </w:r>
          </w:p>
        </w:tc>
        <w:tc>
          <w:tcPr>
            <w:tcW w:type="dxa" w:w="6160"/>
          </w:tcPr>
          <w:p>
            <w:pPr>
              <w:spacing w:after="0" w:line="259" w:lineRule="auto"/>
            </w:pPr>
            <w:r>
              <w:rPr>
                <w:rFonts w:ascii="Calibri" w:hAnsi="Calibri"/>
                <w:color w:val="1B2638"/>
                <w:sz w:val="18"/>
              </w:rPr>
              <w:t>Label Phase 2 as stochastic; use Scripted for deterministic rehearsal and Experiment for rates.</w:t>
            </w:r>
          </w:p>
        </w:tc>
      </w:tr>
      <w:tr>
        <w:trPr>
          <w:cantSplit w:val="true"/>
        </w:trPr>
        <w:tc>
          <w:tcPr>
            <w:tcW w:type="dxa" w:w="3200"/>
          </w:tcPr>
          <w:p>
            <w:pPr>
              <w:spacing w:after="0" w:line="259" w:lineRule="auto"/>
            </w:pPr>
            <w:r>
              <w:rPr>
                <w:rFonts w:ascii="Calibri" w:hAnsi="Calibri"/>
                <w:color w:val="1B2638"/>
                <w:sz w:val="18"/>
              </w:rPr>
              <w:t>Custom gates produce misleading PASS</w:t>
            </w:r>
          </w:p>
        </w:tc>
        <w:tc>
          <w:tcPr>
            <w:tcW w:type="dxa" w:w="6160"/>
          </w:tcPr>
          <w:p>
            <w:pPr>
              <w:spacing w:after="0" w:line="259" w:lineRule="auto"/>
            </w:pPr>
            <w:r>
              <w:rPr>
                <w:rFonts w:ascii="Calibri" w:hAnsi="Calibri"/>
                <w:color w:val="1B2638"/>
                <w:sz w:val="18"/>
              </w:rPr>
              <w:t>Only apply the upstream oracle to exact presets; show Custom Lab as observed evidence unless a new oracle exists.</w:t>
            </w:r>
          </w:p>
        </w:tc>
      </w:tr>
      <w:tr>
        <w:trPr>
          <w:cantSplit w:val="true"/>
        </w:trPr>
        <w:tc>
          <w:tcPr>
            <w:tcW w:type="dxa" w:w="3200"/>
          </w:tcPr>
          <w:p>
            <w:pPr>
              <w:spacing w:after="0" w:line="259" w:lineRule="auto"/>
            </w:pPr>
            <w:r>
              <w:rPr>
                <w:rFonts w:ascii="Calibri" w:hAnsi="Calibri"/>
                <w:color w:val="1B2638"/>
                <w:sz w:val="18"/>
              </w:rPr>
              <w:t>“Thinking” implies chain-of-thought exposure</w:t>
            </w:r>
          </w:p>
        </w:tc>
        <w:tc>
          <w:tcPr>
            <w:tcW w:type="dxa" w:w="6160"/>
          </w:tcPr>
          <w:p>
            <w:pPr>
              <w:spacing w:after="0" w:line="259" w:lineRule="auto"/>
            </w:pPr>
            <w:r>
              <w:rPr>
                <w:rFonts w:ascii="Calibri" w:hAnsi="Calibri"/>
                <w:color w:val="1B2638"/>
                <w:sz w:val="18"/>
              </w:rPr>
              <w:t>Show request state and visible decisions only; never invent or display hidden reasoning.</w:t>
            </w:r>
          </w:p>
        </w:tc>
      </w:tr>
      <w:tr>
        <w:trPr>
          <w:cantSplit w:val="true"/>
        </w:trPr>
        <w:tc>
          <w:tcPr>
            <w:tcW w:type="dxa" w:w="3200"/>
          </w:tcPr>
          <w:p>
            <w:pPr>
              <w:spacing w:after="0" w:line="259" w:lineRule="auto"/>
            </w:pPr>
            <w:r>
              <w:rPr>
                <w:rFonts w:ascii="Calibri" w:hAnsi="Calibri"/>
                <w:color w:val="1B2638"/>
                <w:sz w:val="18"/>
              </w:rPr>
              <w:t>Result payloads overwhelm or leak</w:t>
            </w:r>
          </w:p>
        </w:tc>
        <w:tc>
          <w:tcPr>
            <w:tcW w:type="dxa" w:w="6160"/>
          </w:tcPr>
          <w:p>
            <w:pPr>
              <w:spacing w:after="0" w:line="259" w:lineRule="auto"/>
            </w:pPr>
            <w:r>
              <w:rPr>
                <w:rFonts w:ascii="Calibri" w:hAnsi="Calibri"/>
                <w:color w:val="1B2638"/>
                <w:sz w:val="18"/>
              </w:rPr>
              <w:t>Bounded/redacted previews, synthetic-data label, on-demand full view, no secret persistence.</w:t>
            </w:r>
          </w:p>
        </w:tc>
      </w:tr>
      <w:tr>
        <w:trPr>
          <w:cantSplit w:val="true"/>
        </w:trPr>
        <w:tc>
          <w:tcPr>
            <w:tcW w:type="dxa" w:w="3200"/>
          </w:tcPr>
          <w:p>
            <w:pPr>
              <w:spacing w:after="0" w:line="259" w:lineRule="auto"/>
            </w:pPr>
            <w:r>
              <w:rPr>
                <w:rFonts w:ascii="Calibri" w:hAnsi="Calibri"/>
                <w:color w:val="1B2638"/>
                <w:sz w:val="18"/>
              </w:rPr>
              <w:t>MCP child process survives UI failure</w:t>
            </w:r>
          </w:p>
        </w:tc>
        <w:tc>
          <w:tcPr>
            <w:tcW w:type="dxa" w:w="6160"/>
          </w:tcPr>
          <w:p>
            <w:pPr>
              <w:spacing w:after="0" w:line="259" w:lineRule="auto"/>
            </w:pPr>
            <w:r>
              <w:rPr>
                <w:rFonts w:ascii="Calibri" w:hAnsi="Calibri"/>
                <w:color w:val="1B2638"/>
                <w:sz w:val="18"/>
              </w:rPr>
              <w:t>Central async lifetime owner, bounded shutdown, cancellation tests, and visible process status.</w:t>
            </w:r>
          </w:p>
        </w:tc>
      </w:tr>
      <w:tr>
        <w:trPr>
          <w:cantSplit w:val="true"/>
        </w:trPr>
        <w:tc>
          <w:tcPr>
            <w:tcW w:type="dxa" w:w="3200"/>
          </w:tcPr>
          <w:p>
            <w:pPr>
              <w:spacing w:after="0" w:line="259" w:lineRule="auto"/>
            </w:pPr>
            <w:r>
              <w:rPr>
                <w:rFonts w:ascii="Calibri" w:hAnsi="Calibri"/>
                <w:color w:val="1B2638"/>
                <w:sz w:val="18"/>
              </w:rPr>
              <w:t>Red/green-only semantics fail accessibility</w:t>
            </w:r>
          </w:p>
        </w:tc>
        <w:tc>
          <w:tcPr>
            <w:tcW w:type="dxa" w:w="6160"/>
          </w:tcPr>
          <w:p>
            <w:pPr>
              <w:spacing w:after="0" w:line="259" w:lineRule="auto"/>
            </w:pPr>
            <w:r>
              <w:rPr>
                <w:rFonts w:ascii="Calibri" w:hAnsi="Calibri"/>
                <w:color w:val="1B2638"/>
                <w:sz w:val="18"/>
              </w:rPr>
              <w:t>Labels, icons, dash patterns, accessible names, and reduced-motion support.</w:t>
            </w:r>
          </w:p>
        </w:tc>
      </w:tr>
    </w:tbl>
    <w:p>
      <w:pPr>
        <w:pStyle w:val="Heading1"/>
        <w:keepNext/>
        <w:widowControl/>
      </w:pPr>
      <w:r>
        <w:t>12. Decisions for discussion</w:t>
      </w:r>
    </w:p>
    <w:p>
      <w:pPr>
        <w:spacing w:before="120" w:after="200" w:line="283" w:lineRule="auto"/>
        <w:ind w:left="173" w:right="115"/>
        <w:shd w:fill="E7F6ED" w:val="clear"/>
        <w:widowControl/>
        <w:pBdr>
          <w:left w:val="single" w:sz="28" w:space="8" w:color="167245"/>
        </w:pBdr>
      </w:pPr>
      <w:r>
        <w:rPr>
          <w:rFonts w:ascii="Calibri" w:hAnsi="Calibri"/>
          <w:b/>
          <w:color w:val="167245"/>
          <w:sz w:val="20"/>
        </w:rPr>
        <w:t xml:space="preserve">RECOMMENDED NEXT DECISION  </w:t>
      </w:r>
      <w:r>
        <w:rPr>
          <w:rFonts w:ascii="Calibri" w:hAnsi="Calibri"/>
          <w:color w:val="1B2638"/>
          <w:sz w:val="21"/>
        </w:rPr>
        <w:t>Approve Phase 0 (baseline import) and Phase 1 (typed semantic events) together. They establish a trustworthy seam for every later UX choice and keep the UI from being built on console strings.</w:t>
      </w:r>
    </w:p>
    <w:p>
      <w:pPr>
        <w:pStyle w:val="ListBullet"/>
        <w:widowControl/>
        <w:spacing w:after="80" w:line="290" w:lineRule="auto"/>
        <w:ind w:left="540" w:hanging="279"/>
      </w:pPr>
      <w:r>
        <w:rPr>
          <w:rFonts w:ascii="Calibri" w:hAnsi="Calibri"/>
          <w:color w:val="1B2638"/>
          <w:sz w:val="22"/>
        </w:rPr>
        <w:t>Use Scripted as the default startup mode, with Live shown as configured/unconfigured from environment variables and no API-key persistence.</w:t>
      </w:r>
    </w:p>
    <w:p>
      <w:pPr>
        <w:pStyle w:val="ListBullet"/>
        <w:widowControl/>
        <w:spacing w:after="80" w:line="290" w:lineRule="auto"/>
        <w:ind w:left="540" w:hanging="279"/>
      </w:pPr>
      <w:r>
        <w:rPr>
          <w:rFonts w:ascii="Calibri" w:hAnsi="Calibri"/>
          <w:color w:val="1B2638"/>
          <w:sz w:val="22"/>
        </w:rPr>
        <w:t>Keep the exact four phase buttons prominent; place individual gate switches behind Custom Lab so the canonical story stays easy to run.</w:t>
      </w:r>
    </w:p>
    <w:p>
      <w:pPr>
        <w:pStyle w:val="ListBullet"/>
        <w:widowControl/>
        <w:spacing w:after="80" w:line="290" w:lineRule="auto"/>
        <w:ind w:left="540" w:hanging="279"/>
      </w:pPr>
      <w:r>
        <w:rPr>
          <w:rFonts w:ascii="Calibri" w:hAnsi="Calibri"/>
          <w:color w:val="1B2638"/>
          <w:sz w:val="22"/>
        </w:rPr>
        <w:t>Treat containment as an explicit operator decision event. In Presentation pace it can auto-advance after a visible dwell; in Step mode require the presenter to click Contain PartnerIntel.</w:t>
      </w:r>
    </w:p>
    <w:p>
      <w:pPr>
        <w:pStyle w:val="ListBullet"/>
        <w:widowControl/>
        <w:spacing w:after="80" w:line="290" w:lineRule="auto"/>
        <w:ind w:left="540" w:hanging="279"/>
      </w:pPr>
      <w:r>
        <w:rPr>
          <w:rFonts w:ascii="Calibri" w:hAnsi="Calibri"/>
          <w:color w:val="1B2638"/>
          <w:sz w:val="22"/>
        </w:rPr>
        <w:t>Show the quarantined poisoned addendum in the payload inspector only, labeled blocked before model context. Do not draw it as reaching the agent in Phase 4.</w:t>
      </w:r>
    </w:p>
    <w:p>
      <w:pPr>
        <w:pStyle w:val="ListBullet"/>
        <w:widowControl/>
        <w:spacing w:after="80" w:line="290" w:lineRule="auto"/>
        <w:ind w:left="540" w:hanging="279"/>
      </w:pPr>
      <w:r>
        <w:rPr>
          <w:rFonts w:ascii="Calibri" w:hAnsi="Calibri"/>
          <w:color w:val="1B2638"/>
          <w:sz w:val="22"/>
        </w:rPr>
        <w:t>Ship a truthful static scenario graph first. Pan/zoom and a generic graph library are unnecessary until a second scenario proves the need.</w:t>
      </w:r>
    </w:p>
    <w:p>
      <w:pPr>
        <w:pStyle w:val="ListBullet"/>
        <w:widowControl/>
        <w:spacing w:after="80" w:line="290" w:lineRule="auto"/>
        <w:ind w:left="540" w:hanging="279"/>
      </w:pPr>
      <w:r>
        <w:rPr>
          <w:rFonts w:ascii="Calibri" w:hAnsi="Calibri"/>
          <w:color w:val="1B2638"/>
          <w:sz w:val="22"/>
        </w:rPr>
        <w:t>Keep the console and eval CLIs as parity/debug surfaces even after the GUI exists.</w:t>
      </w:r>
    </w:p>
    <w:p>
      <w:pPr>
        <w:pStyle w:val="Heading2"/>
        <w:keepNext/>
        <w:widowControl/>
      </w:pPr>
      <w:r>
        <w:t>Proposed first review questions</w:t>
      </w:r>
    </w:p>
    <w:p>
      <w:pPr>
        <w:pStyle w:val="ListNumber"/>
        <w:widowControl/>
        <w:numPr>
          <w:ilvl w:val="0"/>
          <w:numId w:val="13"/>
        </w:numPr>
        <w:spacing w:after="80" w:line="290" w:lineRule="auto"/>
        <w:ind w:left="540" w:hanging="279"/>
      </w:pPr>
      <w:r>
        <w:rPr>
          <w:rFonts w:ascii="Calibri" w:hAnsi="Calibri"/>
          <w:color w:val="1B2638"/>
          <w:sz w:val="22"/>
        </w:rPr>
        <w:t>Should Custom Lab permit every gate combination with warnings, or only combinations with well-defined dependencies?</w:t>
      </w:r>
    </w:p>
    <w:p>
      <w:pPr>
        <w:pStyle w:val="ListNumber"/>
        <w:widowControl/>
        <w:numPr>
          <w:ilvl w:val="0"/>
          <w:numId w:val="13"/>
        </w:numPr>
        <w:spacing w:after="80" w:line="290" w:lineRule="auto"/>
        <w:ind w:left="540" w:hanging="279"/>
      </w:pPr>
      <w:r>
        <w:rPr>
          <w:rFonts w:ascii="Calibri" w:hAnsi="Calibri"/>
          <w:color w:val="1B2638"/>
          <w:sz w:val="22"/>
        </w:rPr>
        <w:t>Should Step mode truly pause execution at tool boundaries, or is event replay sufficient for the first public demo?</w:t>
      </w:r>
    </w:p>
    <w:p>
      <w:pPr>
        <w:pStyle w:val="ListNumber"/>
        <w:widowControl/>
        <w:numPr>
          <w:ilvl w:val="0"/>
          <w:numId w:val="13"/>
        </w:numPr>
        <w:spacing w:after="80" w:line="290" w:lineRule="auto"/>
        <w:ind w:left="540" w:hanging="279"/>
      </w:pPr>
      <w:r>
        <w:rPr>
          <w:rFonts w:ascii="Calibri" w:hAnsi="Calibri"/>
          <w:color w:val="1B2638"/>
          <w:sz w:val="22"/>
        </w:rPr>
        <w:t>Should the first UI include the Experiment workspace, or should it follow immediately after the four-phase live demo reaches visual quality?</w:t>
      </w:r>
    </w:p>
    <w:p>
      <w:pPr>
        <w:pStyle w:val="ListNumber"/>
        <w:widowControl/>
        <w:numPr>
          <w:ilvl w:val="0"/>
          <w:numId w:val="13"/>
        </w:numPr>
        <w:spacing w:after="80" w:line="290" w:lineRule="auto"/>
        <w:ind w:left="540" w:hanging="279"/>
      </w:pPr>
      <w:r>
        <w:rPr>
          <w:rFonts w:ascii="Calibri" w:hAnsi="Calibri"/>
          <w:color w:val="1B2638"/>
          <w:sz w:val="22"/>
        </w:rPr>
        <w:t>Is the target a cross-platform developer demo or primarily a Windows conference-stage application? This affects packaging and rehearsal priorities, not the core architecture.</w:t>
      </w:r>
    </w:p>
    <w:p>
      <w:pPr>
        <w:pStyle w:val="Heading1"/>
        <w:keepNext/>
        <w:widowControl/>
      </w:pPr>
      <w:r>
        <w:t>Appendix A. Source basis</w:t>
      </w:r>
    </w:p>
    <w:p>
      <w:pPr>
        <w:widowControl/>
        <w:spacing w:after="80"/>
      </w:pPr>
      <w:r>
        <w:rPr>
          <w:rFonts w:ascii="Calibri" w:hAnsi="Calibri"/>
          <w:b/>
          <w:color w:val="17365D"/>
          <w:sz w:val="20"/>
        </w:rPr>
        <w:t xml:space="preserve">S1  </w:t>
      </w:r>
      <w:hyperlink r:id="rId13">
        <w:r>
          <w:rPr>
            <w:color w:val="2E74B5"/>
            <w:u w:val="single"/>
            <w:rFonts w:ascii="Calibri" w:hAnsi="Calibri"/>
          </w:rPr>
          <w:t>PartnerDesk demo README and four-phase contract</w:t>
        </w:r>
      </w:hyperlink>
    </w:p>
    <w:p>
      <w:pPr>
        <w:widowControl/>
        <w:spacing w:after="80"/>
      </w:pPr>
      <w:r>
        <w:rPr>
          <w:rFonts w:ascii="Calibri" w:hAnsi="Calibri"/>
          <w:b/>
          <w:color w:val="17365D"/>
          <w:sz w:val="20"/>
        </w:rPr>
        <w:t xml:space="preserve">S2  </w:t>
      </w:r>
      <w:hyperlink r:id="rId11">
        <w:r>
          <w:rPr>
            <w:color w:val="2E74B5"/>
            <w:u w:val="single"/>
            <w:rFonts w:ascii="Calibri" w:hAnsi="Calibri"/>
          </w:rPr>
          <w:t>PartnerDesk runner and agent composition</w:t>
        </w:r>
      </w:hyperlink>
    </w:p>
    <w:p>
      <w:pPr>
        <w:widowControl/>
        <w:spacing w:after="80"/>
      </w:pPr>
      <w:r>
        <w:rPr>
          <w:rFonts w:ascii="Calibri" w:hAnsi="Calibri"/>
          <w:b/>
          <w:color w:val="17365D"/>
          <w:sz w:val="20"/>
        </w:rPr>
        <w:t xml:space="preserve">S3  </w:t>
      </w:r>
      <w:hyperlink r:id="rId14">
        <w:r>
          <w:rPr>
            <w:color w:val="2E74B5"/>
            <w:u w:val="single"/>
            <w:rFonts w:ascii="Calibri" w:hAnsi="Calibri"/>
          </w:rPr>
          <w:t>PartnerDesk stochastic evaluation sibling</w:t>
        </w:r>
      </w:hyperlink>
    </w:p>
    <w:p>
      <w:pPr>
        <w:widowControl/>
        <w:spacing w:after="80"/>
      </w:pPr>
      <w:r>
        <w:rPr>
          <w:rFonts w:ascii="Calibri" w:hAnsi="Calibri"/>
          <w:b/>
          <w:color w:val="17365D"/>
          <w:sz w:val="20"/>
        </w:rPr>
        <w:t xml:space="preserve">S4  </w:t>
      </w:r>
      <w:hyperlink r:id="rId15">
        <w:r>
          <w:rPr>
            <w:color w:val="2E74B5"/>
            <w:u w:val="single"/>
            <w:rFonts w:ascii="Calibri" w:hAnsi="Calibri"/>
          </w:rPr>
          <w:t>PartnerDesk deterministic test suite</w:t>
        </w:r>
      </w:hyperlink>
    </w:p>
    <w:p>
      <w:pPr>
        <w:widowControl/>
        <w:spacing w:after="80"/>
      </w:pPr>
      <w:r>
        <w:rPr>
          <w:rFonts w:ascii="Calibri" w:hAnsi="Calibri"/>
          <w:b/>
          <w:color w:val="17365D"/>
          <w:sz w:val="20"/>
        </w:rPr>
        <w:t xml:space="preserve">S5  </w:t>
      </w:r>
      <w:hyperlink r:id="rId16">
        <w:r>
          <w:rPr>
            <w:color w:val="2E74B5"/>
            <w:u w:val="single"/>
            <w:rFonts w:ascii="Calibri" w:hAnsi="Calibri"/>
          </w:rPr>
          <w:t>AgentEval dependency pins at the inspected commit</w:t>
        </w:r>
      </w:hyperlink>
    </w:p>
    <w:p>
      <w:pPr>
        <w:widowControl/>
        <w:spacing w:after="80"/>
      </w:pPr>
      <w:r>
        <w:rPr>
          <w:rFonts w:ascii="Calibri" w:hAnsi="Calibri"/>
          <w:b/>
          <w:color w:val="17365D"/>
          <w:sz w:val="20"/>
        </w:rPr>
        <w:t xml:space="preserve">S6  </w:t>
      </w:r>
      <w:hyperlink r:id="rId17">
        <w:r>
          <w:rPr>
            <w:color w:val="2E74B5"/>
            <w:u w:val="single"/>
            <w:rFonts w:ascii="Calibri" w:hAnsi="Calibri"/>
          </w:rPr>
          <w:t>AgentEval MIT license</w:t>
        </w:r>
      </w:hyperlink>
    </w:p>
    <w:p>
      <w:pPr>
        <w:pStyle w:val="Heading2"/>
        <w:keepNext/>
        <w:widowControl/>
      </w:pPr>
      <w:r>
        <w:t>Local Composer files inspected</w:t>
      </w:r>
    </w:p>
    <w:p>
      <w:pPr>
        <w:pStyle w:val="ListBullet"/>
        <w:widowControl/>
        <w:spacing w:after="40"/>
        <w:ind w:left="540" w:hanging="279"/>
      </w:pPr>
      <w:r>
        <w:rPr>
          <w:rFonts w:ascii="Cascadia Mono" w:hAnsi="Cascadia Mono"/>
          <w:color w:val="5F6B7A"/>
          <w:sz w:val="16"/>
        </w:rPr>
        <w:t>C:\git\joslat\MAFARticleComposer\src\BlogWriter.UI\Views\MainWindow.axaml</w:t>
      </w:r>
    </w:p>
    <w:p>
      <w:pPr>
        <w:pStyle w:val="ListBullet"/>
        <w:widowControl/>
        <w:spacing w:after="40"/>
        <w:ind w:left="540" w:hanging="279"/>
      </w:pPr>
      <w:r>
        <w:rPr>
          <w:rFonts w:ascii="Cascadia Mono" w:hAnsi="Cascadia Mono"/>
          <w:color w:val="5F6B7A"/>
          <w:sz w:val="16"/>
        </w:rPr>
        <w:t>C:\git\joslat\MAFARticleComposer\src\BlogWriter.UI\Views\WorkflowGraphControl.axaml</w:t>
      </w:r>
    </w:p>
    <w:p>
      <w:pPr>
        <w:pStyle w:val="ListBullet"/>
        <w:widowControl/>
        <w:spacing w:after="40"/>
        <w:ind w:left="540" w:hanging="279"/>
      </w:pPr>
      <w:r>
        <w:rPr>
          <w:rFonts w:ascii="Cascadia Mono" w:hAnsi="Cascadia Mono"/>
          <w:color w:val="5F6B7A"/>
          <w:sz w:val="16"/>
        </w:rPr>
        <w:t>C:\git\joslat\MAFARticleComposer\src\BlogWriter.UI\ViewModels\WorkflowGraphViewModel.cs</w:t>
      </w:r>
    </w:p>
    <w:p>
      <w:pPr>
        <w:pStyle w:val="ListBullet"/>
        <w:widowControl/>
        <w:spacing w:after="40"/>
        <w:ind w:left="540" w:hanging="279"/>
      </w:pPr>
      <w:r>
        <w:rPr>
          <w:rFonts w:ascii="Cascadia Mono" w:hAnsi="Cascadia Mono"/>
          <w:color w:val="5F6B7A"/>
          <w:sz w:val="16"/>
        </w:rPr>
        <w:t>C:\git\joslat\MAFARticleComposer\src\BlogWriter.UI\ViewModels\ActivityItemViewModels.cs</w:t>
      </w:r>
    </w:p>
    <w:p>
      <w:pPr>
        <w:pStyle w:val="ListBullet"/>
        <w:widowControl/>
        <w:spacing w:after="40"/>
        <w:ind w:left="540" w:hanging="279"/>
      </w:pPr>
      <w:r>
        <w:rPr>
          <w:rFonts w:ascii="Cascadia Mono" w:hAnsi="Cascadia Mono"/>
          <w:color w:val="5F6B7A"/>
          <w:sz w:val="16"/>
        </w:rPr>
        <w:t>C:\git\joslat\MAFARticleComposer\src\BlogWriter.UI\Presentation\SemanticTone.cs</w:t>
      </w:r>
    </w:p>
    <w:p>
      <w:pPr>
        <w:pStyle w:val="ListBullet"/>
        <w:widowControl/>
        <w:spacing w:after="40"/>
        <w:ind w:left="540" w:hanging="279"/>
      </w:pPr>
      <w:r>
        <w:rPr>
          <w:rFonts w:ascii="Cascadia Mono" w:hAnsi="Cascadia Mono"/>
          <w:color w:val="5F6B7A"/>
          <w:sz w:val="16"/>
        </w:rPr>
        <w:t>C:\git\joslat\MAFARticleComposer\src\BlogWriter.UI\Presentation\SemanticThemes.axaml</w:t>
      </w:r>
    </w:p>
    <w:p>
      <w:pPr>
        <w:pStyle w:val="ListBullet"/>
        <w:widowControl/>
        <w:spacing w:after="40"/>
        <w:ind w:left="540" w:hanging="279"/>
      </w:pPr>
      <w:r>
        <w:rPr>
          <w:rFonts w:ascii="Cascadia Mono" w:hAnsi="Cascadia Mono"/>
          <w:color w:val="5F6B7A"/>
          <w:sz w:val="16"/>
        </w:rPr>
        <w:t>C:\git\joslat\MAFARticleComposer\src\BlogWriter.Core\Progress\WorkflowProgress.cs</w:t>
      </w:r>
    </w:p>
    <w:p>
      <w:pPr>
        <w:pStyle w:val="ListBullet"/>
        <w:widowControl/>
        <w:spacing w:after="40"/>
        <w:ind w:left="540" w:hanging="279"/>
      </w:pPr>
      <w:r>
        <w:rPr>
          <w:rFonts w:ascii="Cascadia Mono" w:hAnsi="Cascadia Mono"/>
          <w:color w:val="5F6B7A"/>
          <w:sz w:val="16"/>
        </w:rPr>
        <w:t>C:\git\joslat\MAFARticleComposer\src\BlogWriter.Application\Observability\WorkflowProgressHub.cs</w:t>
      </w:r>
    </w:p>
    <w:p>
      <w:pPr>
        <w:pStyle w:val="ListBullet"/>
        <w:widowControl/>
        <w:spacing w:after="40"/>
        <w:ind w:left="540" w:hanging="279"/>
      </w:pPr>
      <w:r>
        <w:rPr>
          <w:rFonts w:ascii="Cascadia Mono" w:hAnsi="Cascadia Mono"/>
          <w:color w:val="5F6B7A"/>
          <w:sz w:val="16"/>
        </w:rPr>
        <w:t>C:\git\joslat\MAFARticleComposer\src\BlogWriter.Core\Models\ExecutionFailureEnvelope.cs</w:t>
      </w:r>
    </w:p>
    <w:p>
      <w:pPr>
        <w:pStyle w:val="ListBullet"/>
        <w:widowControl/>
        <w:spacing w:after="40"/>
        <w:ind w:left="540" w:hanging="279"/>
      </w:pPr>
      <w:r>
        <w:rPr>
          <w:rFonts w:ascii="Cascadia Mono" w:hAnsi="Cascadia Mono"/>
          <w:color w:val="5F6B7A"/>
          <w:sz w:val="16"/>
        </w:rPr>
        <w:t>C:\git\joslat\MAFARticleComposer\docs\design\workflow-visualization.md</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A"/>
        <w:sz w:val="18"/>
      </w:rPr>
      <w:t xml:space="preserve">Page </w:t>
    </w:r>
    <w:fldSimple w:instr="PAGE">
      <w:r>
        <w:rPr>
          <w:color w:val="5F6B7A"/>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8DEE7"/>
      </w:pBdr>
    </w:pPr>
    <w:r>
      <w:rPr>
        <w:rFonts w:ascii="Calibri" w:hAnsi="Calibri"/>
        <w:b/>
        <w:color w:val="5F6B7A"/>
        <w:sz w:val="17"/>
      </w:rPr>
      <w:t>GATEKEEPER DEMO  |  DESIGN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B26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val="0"/>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gentEvalHQ/AgentEval/tree/345d5b62766d556f5619c1d41d1e31946615e586/samples/AgentEval.PartnerDeskDemo" TargetMode="External"/><Relationship Id="rId12" Type="http://schemas.openxmlformats.org/officeDocument/2006/relationships/image" Target="media/image1.png"/><Relationship Id="rId13" Type="http://schemas.openxmlformats.org/officeDocument/2006/relationships/hyperlink" Target="https://github.com/AgentEvalHQ/AgentEval/blob/345d5b62766d556f5619c1d41d1e31946615e586/samples/AgentEval.PartnerDeskDemo/README.md" TargetMode="External"/><Relationship Id="rId14" Type="http://schemas.openxmlformats.org/officeDocument/2006/relationships/hyperlink" Target="https://github.com/AgentEvalHQ/AgentEval/tree/345d5b62766d556f5619c1d41d1e31946615e586/samples/AgentEval.PartnerDeskDemo.Evals" TargetMode="External"/><Relationship Id="rId15" Type="http://schemas.openxmlformats.org/officeDocument/2006/relationships/hyperlink" Target="https://github.com/AgentEvalHQ/AgentEval/tree/345d5b62766d556f5619c1d41d1e31946615e586/samples/AgentEval.PartnerDeskDemo.Tests" TargetMode="External"/><Relationship Id="rId16" Type="http://schemas.openxmlformats.org/officeDocument/2006/relationships/hyperlink" Target="https://github.com/AgentEvalHQ/AgentEval/blob/345d5b62766d556f5619c1d41d1e31946615e586/Directory.Packages.props" TargetMode="External"/><Relationship Id="rId17" Type="http://schemas.openxmlformats.org/officeDocument/2006/relationships/hyperlink" Target="https://github.com/AgentEvalHQ/AgentEval/blob/345d5b62766d556f5619c1d41d1e31946615e586/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GatekeeperDemo - Design and Implementation Proposal</dc:title>
  <dc:subject>Interactive Avalonia visualization of the AgentEval PartnerDesk Gatekeeper demo</dc:subject>
  <dc:creator>Codex</dc:creator>
  <cp:keywords>AgentEval, Gatekeeper, Avalonia, PartnerDesk, MCP, security visualization</cp:keywords>
  <dc:description>generated by python-docx</dc:description>
  <cp:lastModifiedBy/>
  <cp:revision>1</cp:revision>
  <dcterms:created xsi:type="dcterms:W3CDTF">2013-12-23T23:15:00Z</dcterms:created>
  <dcterms:modified xsi:type="dcterms:W3CDTF">2013-12-23T23:15:00Z</dcterms:modified>
  <cp:category/>
</cp:coreProperties>
</file>