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Capítulo 7 — Resultados y Discusión (BORRADOR v1, base RC1)</w:t>
      </w:r>
    </w:p>
    <w:p>
      <w:pPr>
        <w:spacing w:after="180" w:line="280"/>
      </w:pPr>
      <w:r>
        <w:rPr>
          <w:i/>
          <w:iCs/>
          <w:color w:val="555555"/>
          <w:sz w:val="19"/>
          <w:szCs w:val="19"/>
        </w:rPr>
        <w:t xml:space="preserve">Convención: las referencias “Tabla 7.1” a “Tabla 7.4” corresponden a las Tablas 4.1–4.4 del documento Material_RC1_Tesis.docx, renumeradas para este capítulo. Los marcadores en rojo señalan material pendiente de las corridas en curso o de archivos por integrar.</w:t>
      </w:r>
    </w:p>
    <w:p>
      <w:pPr>
        <w:pStyle w:val="Heading1"/>
      </w:pPr>
      <w:r>
        <w:t xml:space="preserve">7.1 Desempeño predictivo fuera de muestra</w:t>
      </w:r>
    </w:p>
    <w:p>
      <w:pPr>
        <w:spacing w:after="180" w:line="320"/>
        <w:jc w:val="both"/>
      </w:pPr>
      <w:r>
        <w:rPr>
          <w:sz w:val="22"/>
          <w:szCs w:val="22"/>
        </w:rPr>
        <w:t xml:space="preserve">La Tabla 7.1 presenta las métricas de error fuera de muestra (RMSE, MAE y MDA) para los siete modelos efectivos sobre los 252 días hábiles de 2024, en los cuatro horizontes de pronóstico. En el horizonte de un día, los siete modelos resultaron prácticamente indistinguibles: el RMSE osciló entre 0.0109 (LSTM+Sent+VIX) y 0.0114 (ARIMA), una banda de apenas 4.6% alrededor del paseo aleatorio (0.0113). Esta compresión de las diferencias en T+1 constituye el primer resultado sustantivo del estudio: ningún modelo, clásico o neuronal, con o sin información exógena, logró separarse de la referencia ingenua en el horizonte diario, en línea con lo que predice la hipótesis de eficiencia débil de mercado para retornos de muy corto plazo.</w:t>
      </w:r>
    </w:p>
    <w:p>
      <w:pPr>
        <w:spacing w:after="180" w:line="320"/>
        <w:jc w:val="both"/>
      </w:pPr>
      <w:r>
        <w:rPr>
          <w:sz w:val="22"/>
          <w:szCs w:val="22"/>
        </w:rPr>
        <w:t xml:space="preserve">A medida que el horizonte se amplía, las diferencias se ensanchan y emerge una estructura. En T+20, el mejor RMSE correspondió a ARIMA (0.0403, una mejora de 8.3% sobre el RW de 0.0440), seguido por la LSTM univariada (0.0421) y las variantes con exógenas (0.0426–0.0433). El acierto direccional (MDA) creció de manera sostenida con el horizonte —de aproximadamente 0.52–0.57 en T+1 a 0.66–0.80 en T+20—, alcanzando su máximo con la LSTM univariada (0.798). Este patrón debe interpretarse con cautela: como se discute en la sección de métricas del Capítulo 6, el solapamiento de las ventanas de retornos acumulados infla mecánicamente el MDA en horizontes largos, por lo que su lectura se complementa con la prueba de Pesaran–Timmermann.</w:t>
      </w:r>
    </w:p>
    <w:p>
      <w:pPr>
        <w:spacing w:after="180" w:line="320"/>
        <w:jc w:val="both"/>
      </w:pPr>
      <w:r>
        <w:rPr>
          <w:b/>
          <w:bCs/>
          <w:color w:val="C00000"/>
          <w:sz w:val="22"/>
          <w:szCs w:val="22"/>
        </w:rPr>
        <w:t xml:space="preserve">[PENDIENTE — insertar referencia cruzada a la figura Fig_T20_bars_vs_RW y una frase descriptiva cuando se integre la figura.]</w:t>
      </w:r>
    </w:p>
    <w:p>
      <w:pPr>
        <w:pStyle w:val="Heading1"/>
      </w:pPr>
      <w:r>
        <w:t xml:space="preserve">7.2 Significancia estadística de las diferencias</w:t>
      </w:r>
    </w:p>
    <w:p>
      <w:pPr>
        <w:spacing w:after="180" w:line="320"/>
        <w:jc w:val="both"/>
      </w:pPr>
      <w:r>
        <w:rPr>
          <w:sz w:val="22"/>
          <w:szCs w:val="22"/>
        </w:rPr>
        <w:t xml:space="preserve">La Tabla 7.2 reporta la prueba de Diebold–Mariano con errores estándar HAC (Newey–West, L = h−1) de cada modelo frente al paseo aleatorio. En T+1 ninguna diferencia alcanzó significancia al 5%; el contraste más cercano fue, de hecho, desfavorable: LSTM+Sent presentó un estadístico negativo (−1.85, p = 0.065), es decir, un desempeño direccional peor que la referencia, atribuible al ruido que introduce el sentimiento diario sin el filtro de la volatilidad. En T+5 apareció la primera celda significativa: la LSTM univariada superó al RW (DM = 2.00, p = 0.046), y LSTM+Sent superó al benchmark SARIMAX (p = 0.036). En T+10 ningún contraste fue significativo. En T+20, dos modelos con exógenas alcanzaron significancia frente al RW: LSTM+Sent (DM = 2.19, p = 0.030) y LSTM+Sent+VIX (DM = 2.00, p = 0.047), mientras la LSTM univariada quedó en el margen (p = 0.059).</w:t>
      </w:r>
    </w:p>
    <w:p>
      <w:pPr>
        <w:spacing w:after="180" w:line="320"/>
        <w:jc w:val="both"/>
      </w:pPr>
      <w:r>
        <w:rPr>
          <w:sz w:val="22"/>
          <w:szCs w:val="22"/>
        </w:rPr>
        <w:t xml:space="preserve">Dos observaciones disciplinan la lectura de estos resultados. La primera es aritmética: el estudio realiza 48 comparaciones (12 pares por horizonte frente a dos benchmarks), de modo que al nivel del 5% cabría esperar entre dos y tres celdas significativas por puro azar; las cuatro observadas apenas exceden esa expectativa, y por ello su robustez se somete a la prueba multi-semilla de la Sección 7.5 antes de extraer conclusiones. La segunda es metodológica y explica una aparente paradoja de la Tabla 7.2: ARIMA, que ostenta el mejor RMSE en T+20, no alcanza significancia (p = 0.220), mientras que variantes LSTM con RMSE superior sí la alcanzan. La prueba DM no contrasta el tamaño de la mejora sino la consistencia del diferencial de pérdidas a lo largo de la muestra: la ventaja de ARIMA es grande en promedio pero volátil entre subperiodos, mientras que la de las LSTM con exógenas es menor pero más estable. Esta distinción entre magnitud y consistencia reaparece en el análisis walk-forward.</w:t>
      </w:r>
    </w:p>
    <w:p>
      <w:pPr>
        <w:spacing w:after="180" w:line="320"/>
        <w:jc w:val="both"/>
      </w:pPr>
      <w:r>
        <w:rPr>
          <w:b/>
          <w:bCs/>
          <w:color w:val="C00000"/>
          <w:sz w:val="22"/>
          <w:szCs w:val="22"/>
        </w:rPr>
        <w:t xml:space="preserve">[PENDIENTE — al cerrar la corrida HLN: añadir una frase reportando si las celdas significativas sobreviven a la corrección de muestra pequeña de Harvey–Leybourne–Newbold, y actualizar la Tabla 7.2 con las columnas DM_HLN/p_HLN.]</w:t>
      </w:r>
    </w:p>
    <w:p>
      <w:pPr>
        <w:pStyle w:val="Heading1"/>
      </w:pPr>
      <w:r>
        <w:t xml:space="preserve">7.3 Calibración de los pronósticos</w:t>
      </w:r>
    </w:p>
    <w:p>
      <w:pPr>
        <w:spacing w:after="180" w:line="320"/>
        <w:jc w:val="both"/>
      </w:pPr>
      <w:r>
        <w:rPr>
          <w:b/>
          <w:bCs/>
          <w:color w:val="C00000"/>
          <w:sz w:val="22"/>
          <w:szCs w:val="22"/>
        </w:rPr>
        <w:t xml:space="preserve">[PENDIENTE — redactar con tbl_MZ_core.csv de RC1 (subir el archivo): regresiones de Mincer–Zarnowitz por modelo×horizonte, prueba conjunta α=0, β=1, y lectura de sesgos sistemáticos. Verificar que RW y ARIMA ya no presentan valores idénticos (el artefacto del borrador anterior).]</w:t>
      </w:r>
    </w:p>
    <w:p>
      <w:pPr>
        <w:pStyle w:val="Heading1"/>
      </w:pPr>
      <w:r>
        <w:t xml:space="preserve">7.4 Estabilidad temporal: validación walk-forward</w:t>
      </w:r>
    </w:p>
    <w:p>
      <w:pPr>
        <w:spacing w:after="180" w:line="320"/>
        <w:jc w:val="both"/>
      </w:pPr>
      <w:r>
        <w:rPr>
          <w:sz w:val="22"/>
          <w:szCs w:val="22"/>
        </w:rPr>
        <w:t xml:space="preserve">La Tabla 7.3 resume el desempeño promedio de los doce bloques mensuales de la validación walk-forward de 2024, con re-estimación de parámetros y escaladores en cada bloque usando exclusivamente información anterior a este. El ordenamiento confirma el del ejercicio fuera de muestra y añade un matiz relevante: en los horizontes cortos (T+1 y T+5) las tres variantes LSTM encabezaron la clasificación (RMSE 0.0105–0.0105 en T+1, frente a 0.0110 del RW), mientras que en T+20 el liderazgo correspondió a ARIMA (0.0367 frente a 0.0417 del RW). La consistencia del ranking entre dos protocolos de validación independientes —una partición fija y un esquema rodante— constituye evidencia de que la estructura observada no es un artefacto de la elección del periodo de evaluación.</w:t>
      </w:r>
    </w:p>
    <w:p>
      <w:pPr>
        <w:spacing w:after="180" w:line="320"/>
        <w:jc w:val="both"/>
      </w:pPr>
      <w:r>
        <w:rPr>
          <w:b/>
          <w:bCs/>
          <w:color w:val="C00000"/>
          <w:sz w:val="22"/>
          <w:szCs w:val="22"/>
        </w:rPr>
        <w:t xml:space="preserve">[PENDIENTE — completar con metrics_WF_blocks.csv (subir el archivo): párrafo de heterogeneidad por bloque y análisis de regímenes — los bloques de agosto–septiembre de 2024 (episodio de turbulencia global por la reversión del carry trade del yen, con el mayor salto intradía del VIX en años) castigaron a las LSTM hasta en 70–90% frente al RW, mientras que abril las favoreció (−70%). Insertar referencia al heatmap WF y a la figura de pérdida acumulada.]</w:t>
      </w:r>
    </w:p>
    <w:p>
      <w:pPr>
        <w:pStyle w:val="Heading1"/>
      </w:pPr>
      <w:r>
        <w:t xml:space="preserve">7.5 Sensibilidad a la inicialización: análisis multi-semilla</w:t>
      </w:r>
    </w:p>
    <w:p>
      <w:pPr>
        <w:spacing w:after="180" w:line="320"/>
        <w:jc w:val="both"/>
      </w:pPr>
      <w:r>
        <w:rPr>
          <w:sz w:val="22"/>
          <w:szCs w:val="22"/>
        </w:rPr>
        <w:t xml:space="preserve">Los resultados de las redes neuronales presentados hasta aquí corresponden a la semilla canónica del estudio (42). Dado que el entrenamiento de una LSTM es estocástico, cualquier celda significativa podría ser un accidente de la inicialización. Para descartarlo, cada variante LSTM se re-entrenó con diez semillas aleatorias en los cuatro horizontes (120 entrenamientos), manteniendo idéntico todo lo demás. La Tabla 7.4 resume la distribución del RMSE resultante.</w:t>
      </w:r>
    </w:p>
    <w:p>
      <w:pPr>
        <w:spacing w:after="180" w:line="320"/>
        <w:jc w:val="both"/>
      </w:pPr>
      <w:r>
        <w:rPr>
          <w:sz w:val="22"/>
          <w:szCs w:val="22"/>
        </w:rPr>
        <w:t xml:space="preserve">El análisis arroja tres hallazgos. Primero, la sensibilidad a la inicialización crece sistemáticamente con el horizonte: la desviación estándar del RMSE entre semillas pasa de aproximadamente 0.5% del valor medio en T+1 a entre 3% y 5% en T+20, con LSTM+Sent como la variante más volátil (rango 0.0398–0.0463 en T+20, y un MDA que oscila entre 0.41 y 0.80 según la semilla). En horizontes largos hay menos señal disponible y la inicialización pasa a explicar una fracción material del resultado. Segundo, el hallazgo central de la Tabla 7.2 —la ventaja de LSTM+Sent+VIX sobre el RW en T+20— resultó direccionalmente unánime: el estadístico DM fue positivo en las diez semillas (rango 1.58–2.80) y el RMSE medio (0.0420) se mantuvo por debajo del RW (0.0440). Tercero, sin embargo, la significancia estadística de esa ventaja es frágil: la mediana de los p-valores fue 0.062 y solo cuatro de las diez semillas alcanzaron individualmente el umbral del 5% (rango de p: 0.006–0.115). El promedio de las predicciones de las diez semillas (ensemble) obtuvo un RMSE de 0.0418 con p = 0.049, recuperando la significancia de forma marginal; este resultado se reporta como secundario y no como conclusión principal.</w:t>
      </w:r>
    </w:p>
    <w:p>
      <w:pPr>
        <w:spacing w:after="180" w:line="320"/>
        <w:jc w:val="both"/>
      </w:pPr>
      <w:r>
        <w:rPr>
          <w:sz w:val="22"/>
          <w:szCs w:val="22"/>
        </w:rPr>
        <w:t xml:space="preserve">La lectura conjunta es la siguiente: la información exógena aporta una ventaja direccional consistente en el horizonte de veinte días, pero esa ventaja no es estadísticamente robusta al nivel convencional del 5% una vez se considera la variabilidad de la inicialización. Este resultado tiene una implicación metodológica que trasciende el caso de estudio: un investigador que hubiera reportado únicamente la semilla canónica habría concluido significancia (p = 0.047) donde el análisis multi-semilla revela fragilidad (mediana p = 0.062). Dado que una parte sustancial de la literatura aplicada de pronóstico con redes neuronales reporta resultados de corrida única, este hallazgo sugiere cautela sistemática ante ese tipo de evidencia.</w:t>
      </w:r>
    </w:p>
    <w:p>
      <w:pPr>
        <w:pStyle w:val="Heading1"/>
      </w:pPr>
      <w:r>
        <w:t xml:space="preserve">7.6 Robustez fuera del periodo de estudio: enero–abril de 2025</w:t>
      </w:r>
    </w:p>
    <w:p>
      <w:pPr>
        <w:spacing w:after="180" w:line="320"/>
        <w:jc w:val="both"/>
      </w:pPr>
      <w:r>
        <w:rPr>
          <w:b/>
          <w:bCs/>
          <w:color w:val="C00000"/>
          <w:sz w:val="22"/>
          <w:szCs w:val="22"/>
        </w:rPr>
        <w:t xml:space="preserve">[PENDIENTE — redactar con metrics_OOS_2025.csv y tbl_DM_2025.csv cuando cierre la corrida del bloque D3: desempeño de los modelos en el OOS extendido con el shock de volatilidad de abril de 2025; contrastar con la conclusión de regímenes (¿se repite el patrón de agosto 2024: ventajas neuronales que se evaporan en estrés?).]</w:t>
      </w:r>
    </w:p>
    <w:p>
      <w:pPr>
        <w:pStyle w:val="Heading1"/>
      </w:pPr>
      <w:r>
        <w:t xml:space="preserve">7.7 Discusión general</w:t>
      </w:r>
    </w:p>
    <w:p>
      <w:pPr>
        <w:spacing w:after="180" w:line="320"/>
        <w:jc w:val="both"/>
      </w:pPr>
      <w:r>
        <w:rPr>
          <w:sz w:val="22"/>
          <w:szCs w:val="22"/>
        </w:rPr>
        <w:t xml:space="preserve">Tomados en conjunto, los resultados dibujan un panorama coherente con tres lecturas complementarias. La primera concierne a la eficiencia de mercado: en el horizonte diario, ni la estructura autorregresiva, ni la estacionalidad, ni la volatilidad implícita, ni el sentimiento de noticias, ni la capacidad no lineal de las redes recurrentes lograron extraer señal que el paseo aleatorio no contuviera ya. La banda de RMSE de 4.6% en T+1 y la ausencia total de significancia constituyen una verificación empírica contemporánea de la forma débil de la hipótesis de eficiencia para el NASDAQ-100.</w:t>
      </w:r>
    </w:p>
    <w:p>
      <w:pPr>
        <w:spacing w:after="180" w:line="320"/>
        <w:jc w:val="both"/>
      </w:pPr>
      <w:r>
        <w:rPr>
          <w:sz w:val="22"/>
          <w:szCs w:val="22"/>
        </w:rPr>
        <w:t xml:space="preserve">La segunda lectura concierne a la relación entre parsimonia y complejidad. ARIMA —dos parámetros estimados sobre retornos diarios— obtuvo el mejor RMSE de T+20 en ambos protocolos de validación y resultó, bloque a bloque, el competidor más estable. Las LSTM, con dos órdenes de magnitud más parámetros y un costo computacional muy superior, lideraron los horizontes cortos por márgenes pequeños y mostraron en los largos una dependencia material de la inicialización. Este resultado se alinea con la evidencia de las competencias de pronóstico [Makridakis et al.] sobre la competitividad de los métodos estadísticos frente al aprendizaje automático, y la extiende al caso de índices bursátiles con exógenas de sentimiento y volatilidad.</w:t>
      </w:r>
    </w:p>
    <w:p>
      <w:pPr>
        <w:spacing w:after="180" w:line="320"/>
        <w:jc w:val="both"/>
      </w:pPr>
      <w:r>
        <w:rPr>
          <w:sz w:val="22"/>
          <w:szCs w:val="22"/>
        </w:rPr>
        <w:t xml:space="preserve">La tercera lectura concierne al valor de la información exógena. El sentimiento y el VIX no mejoraron el pronóstico en horizontes cortos —donde incluso lo degradaron marginalmente (LSTM+Sent en T+1)— pero produjeron en T+20 la única ventaja direccionalmente unánime del estudio. Una interpretación económica plausible es que el sentimiento agregado de noticias y la volatilidad implícita contienen información sobre la persistencia de regímenes de mercado a semanas vista, irrelevante para el ruido del día siguiente pero útil para el desplazamiento acumulado del mes. Que esa ventaja sea frágil en significancia, y que se haya evaporado precisamente en los bloques de mayor turbulencia del periodo, delimita con honestidad su alcance práctico: se trata de una señal condicional al régimen, no de una mejora incondicional.</w:t>
      </w:r>
    </w:p>
    <w:p>
      <w:pPr>
        <w:spacing w:after="180" w:line="320"/>
        <w:jc w:val="both"/>
      </w:pPr>
      <w:r>
        <w:rPr>
          <w:b/>
          <w:bCs/>
          <w:color w:val="C00000"/>
          <w:sz w:val="22"/>
          <w:szCs w:val="22"/>
        </w:rPr>
        <w:t xml:space="preserve">[PENDIENTE — párrafo final de la discusión: integrar el veredicto del bloque 2025 y la síntesis de regímenes cuando estén disponibles ambos insumos.]</w:t>
      </w:r>
    </w:p>
    <w:p>
      <w:pPr>
        <w:pStyle w:val="Heading1"/>
      </w:pPr>
      <w:r>
        <w:t xml:space="preserve">Notas para la integración</w:t>
      </w:r>
    </w:p>
    <w:p>
      <w:pPr>
        <w:spacing w:after="180" w:line="280"/>
      </w:pPr>
      <w:r>
        <w:rPr>
          <w:i/>
          <w:iCs/>
          <w:color w:val="555555"/>
          <w:sz w:val="19"/>
          <w:szCs w:val="19"/>
        </w:rPr>
        <w:t xml:space="preserve">1. Este borrador reemplaza íntegramente la discusión condicional del borrador anterior (“se espera que...”); toda afirmación está en pasado y anclada a una tabla. 2. Verificar que las citas [Makridakis et al.] y las referencias a secciones del Capítulo 6 usen la numeración real del documento. 3. Los cuatro marcadores rojos requieren: tbl_MZ_core.csv, metrics_WF_blocks.csv + figuras, y los dos CSV del bloque 2025. 4. El tono evita adjetivos promocionales deliberadamente; la fuerza del capítulo está en la trazabilidad de cada número.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2026-06-12T02:51:40.760Z</dcterms:created>
  <dcterms:modified xsi:type="dcterms:W3CDTF">2026-06-12T02:51:40.775Z</dcterms:modified>
</cp:coreProperties>
</file>

<file path=docProps/custom.xml><?xml version="1.0" encoding="utf-8"?>
<Properties xmlns="http://schemas.openxmlformats.org/officeDocument/2006/custom-properties" xmlns:vt="http://schemas.openxmlformats.org/officeDocument/2006/docPropsVTypes"/>
</file>