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pPr>
      <w:r>
        <w:rPr>
          <w:rFonts w:ascii="Times New Roman" w:cs="Times New Roman" w:eastAsia="Times New Roman" w:hAnsi="Times New Roman"/>
        </w:rPr>
        <w:t xml:space="preserve">14. Acetabular fracture treatment</w:t>
      </w:r>
    </w:p>
    <w:p>
      <w:pPr>
        <w:spacing w:after="200"/>
      </w:pPr>
      <w:r>
        <w:rPr>
          <w:rFonts w:ascii="Malgun Gothic" w:cs="Malgun Gothic" w:eastAsia="Malgun Gothic" w:hAnsi="Malgun Gothic"/>
        </w:rPr>
        <w:t xml:space="preserve">비구골절 치료</w:t>
      </w:r>
    </w:p>
    <w:p>
      <w:r>
        <w:rPr>
          <w:rFonts w:ascii="Malgun Gothic" w:cs="Malgun Gothic" w:eastAsia="Malgun Gothic" w:hAnsi="Malgun Gothic"/>
        </w:rPr>
        <w:t xml:space="preserve">이 단원을 학습한 후 다음을 설명할 수 있어야 한다:</w:t>
      </w:r>
      <w:r>
        <w:rPr>
          <w:rFonts w:ascii="Times New Roman" w:cs="Times New Roman" w:eastAsia="Times New Roman" w:hAnsi="Times New Roman"/>
        </w:rPr>
        <w:t xml:space="preserve">
(4-1) Posterior wall column fracture management = 3/0/5ab/4B8/4B3/≥MB5
</w:t>
      </w:r>
      <w:r>
        <w:rPr>
          <w:rFonts w:ascii="Times New Roman" w:cs="Times New Roman" w:eastAsia="Times New Roman" w:hAnsi="Times New Roman"/>
        </w:rPr>
        <w:t xml:space="preserve">(4-2) Operative on Conservative indication = 4BB
</w:t>
      </w:r>
      <w:r>
        <w:rPr>
          <w:rFonts w:ascii="Times New Roman" w:cs="Times New Roman" w:eastAsia="Times New Roman" w:hAnsi="Times New Roman"/>
        </w:rPr>
        <w:t xml:space="preserve">(4-3) Approach = 2/D/3B/1BB2/1BB/1BB</w:t>
      </w:r>
    </w:p>
    <w:p>
      <w:pPr>
        <w:spacing w:after="50" w:before="50"/>
      </w:pPr>
    </w:p>
    <w:p>
      <w:r>
        <w:rPr>
          <w:rFonts w:ascii="Times New Roman" w:cs="Times New Roman" w:eastAsia="Times New Roman" w:hAnsi="Times New Roman"/>
        </w:rPr>
        <w:t xml:space="preserve">&lt;</w:t>
      </w:r>
      <w:r>
        <w:rPr>
          <w:rFonts w:ascii="Malgun Gothic" w:cs="Malgun Gothic" w:eastAsia="Malgun Gothic" w:hAnsi="Malgun Gothic"/>
        </w:rPr>
        <w:t xml:space="preserve">교과서 내용 정리하기&gt;</w:t>
      </w:r>
    </w:p>
    <w:p>
      <w:pPr>
        <w:spacing w:after="50" w:before="50"/>
      </w:pPr>
    </w:p>
    <w:p>
      <w:pPr>
        <w:spacing w:after="100" w:before="150"/>
      </w:pPr>
      <w:r>
        <w:rPr>
          <w:rFonts w:ascii="Malgun Gothic" w:cs="Malgun Gothic" w:eastAsia="Malgun Gothic" w:hAnsi="Malgun Gothic"/>
        </w:rPr>
        <w:t xml:space="preserve">1) Conservative treatment 보 (대증)</w:t>
      </w:r>
    </w:p>
    <w:p>
      <w:r>
        <w:rPr>
          <w:rFonts w:ascii="Malgun Gothic" w:cs="Malgun Gothic" w:eastAsia="Malgun Gothic" w:hAnsi="Malgun Gothic"/>
        </w:rPr>
        <w:t xml:space="preserve">(1) 3mm 미만의 전위없은 골절
</w:t>
      </w:r>
      <w:r>
        <w:rPr>
          <w:rFonts w:ascii="Malgun Gothic" w:cs="Malgun Gothic" w:eastAsia="Malgun Gothic" w:hAnsi="Malgun Gothic"/>
        </w:rPr>
        <w:t xml:space="preserve">(2) 실관 정합이 유지된 골절 정한 정합이 유지도 경우는 정합 미세한 골절 후외측 경우
</w:t>
      </w:r>
      <w:r>
        <w:rPr>
          <w:rFonts w:ascii="Malgun Gothic" w:cs="Malgun Gothic" w:eastAsia="Malgun Gothic" w:hAnsi="Malgun Gothic"/>
        </w:rPr>
        <w:t xml:space="preserve">(3) 골밀도 호흡 정합 자신이 있는 경우
</w:t>
      </w:r>
      <w:r>
        <w:rPr>
          <w:rFonts w:ascii="Malgun Gothic" w:cs="Malgun Gothic" w:eastAsia="Malgun Gothic" w:hAnsi="Malgun Gothic"/>
        </w:rPr>
        <w:t xml:space="preserve">(4) 골이 정합이 정합이 금축 유지되는 경우는 금축 미세한 금속비스 정합이
</w:t>
      </w:r>
      <w:r>
        <w:rPr>
          <w:rFonts w:ascii="Malgun Gothic" w:cs="Malgun Gothic" w:eastAsia="Malgun Gothic" w:hAnsi="Malgun Gothic"/>
        </w:rPr>
        <w:t xml:space="preserve">(5) 이차 고관절 전위가 있는 경우는 수술이 필요없다 (관절내 유리체 포함)
</w:t>
      </w:r>
      <w:r>
        <w:rPr>
          <w:rFonts w:ascii="Malgun Gothic" w:cs="Malgun Gothic" w:eastAsia="Malgun Gothic" w:hAnsi="Malgun Gothic"/>
        </w:rPr>
        <w:t xml:space="preserve">(6) 환자 연령 정착이 불가능한 경우
</w:t>
      </w:r>
      <w:r>
        <w:rPr>
          <w:rFonts w:ascii="Malgun Gothic" w:cs="Malgun Gothic" w:eastAsia="Malgun Gothic" w:hAnsi="Malgun Gothic"/>
        </w:rPr>
        <w:t xml:space="preserve">(7) 높은 정합의 위험이 수술장비 (골절)
</w:t>
      </w:r>
      <w:r>
        <w:rPr>
          <w:rFonts w:ascii="Malgun Gothic" w:cs="Malgun Gothic" w:eastAsia="Malgun Gothic" w:hAnsi="Malgun Gothic"/>
        </w:rPr>
        <w:t xml:space="preserve">(8) 않은 clinical vital sign 안정성이 없고 전신 상태 정합이 측</w:t>
      </w:r>
    </w:p>
    <w:p>
      <w:pPr>
        <w:spacing w:after="50" w:before="50"/>
      </w:pPr>
    </w:p>
    <w:p>
      <w:pPr>
        <w:spacing w:after="100" w:before="100"/>
      </w:pPr>
      <w:r>
        <w:rPr>
          <w:rFonts w:ascii="Times New Roman" w:cs="Times New Roman" w:eastAsia="Times New Roman" w:hAnsi="Times New Roman"/>
        </w:rPr>
        <w:t xml:space="preserve">2) Operative indication</w:t>
      </w:r>
    </w:p>
    <w:p>
      <w:r>
        <w:rPr>
          <w:rFonts w:ascii="Times New Roman" w:cs="Times New Roman" w:eastAsia="Times New Roman" w:hAnsi="Times New Roman"/>
        </w:rPr>
        <w:t xml:space="preserve">(1) Displacement &gt; 2mm
</w:t>
      </w:r>
      <w:r>
        <w:rPr>
          <w:rFonts w:ascii="Times New Roman" w:cs="Times New Roman" w:eastAsia="Times New Roman" w:hAnsi="Times New Roman"/>
        </w:rPr>
        <w:t xml:space="preserve">(2) Roof arc angle &lt; 45°
</w:t>
      </w:r>
      <w:r>
        <w:rPr>
          <w:rFonts w:ascii="Malgun Gothic" w:cs="Malgun Gothic" w:eastAsia="Malgun Gothic" w:hAnsi="Malgun Gothic"/>
        </w:rPr>
        <w:t xml:space="preserve">(3) CT 초기 50% 이상 벽이 이상되는 stress test(응 않는다)
</w:t>
      </w:r>
      <w:r>
        <w:rPr>
          <w:rFonts w:ascii="Malgun Gothic" w:cs="Malgun Gothic" w:eastAsia="Malgun Gothic" w:hAnsi="Malgun Gothic"/>
        </w:rPr>
        <w:t xml:space="preserve">(4) post. wall Fx+1 50% 이상의 정합도 stress(축함)
</w:t>
      </w:r>
      <w:r>
        <w:rPr>
          <w:rFonts w:ascii="Malgun Gothic" w:cs="Malgun Gothic" w:eastAsia="Malgun Gothic" w:hAnsi="Malgun Gothic"/>
        </w:rPr>
        <w:t xml:space="preserve">(5) post. wall Fx+1 50% 미만의 정합도 stress test(축함)
</w:t>
      </w:r>
      <w:r>
        <w:rPr>
          <w:rFonts w:ascii="Malgun Gothic" w:cs="Malgun Gothic" w:eastAsia="Malgun Gothic" w:hAnsi="Malgun Gothic"/>
        </w:rPr>
        <w:t xml:space="preserve">(6) 나쁜 자세등 수술 전 정합
</w:t>
      </w:r>
      <w:r>
        <w:rPr>
          <w:rFonts w:ascii="Malgun Gothic" w:cs="Malgun Gothic" w:eastAsia="Malgun Gothic" w:hAnsi="Malgun Gothic"/>
        </w:rPr>
        <w:t xml:space="preserve">(7) 오동성 손상등 위험한 정합
</w:t>
      </w:r>
      <w:r>
        <w:rPr>
          <w:rFonts w:ascii="Malgun Gothic" w:cs="Malgun Gothic" w:eastAsia="Malgun Gothic" w:hAnsi="Malgun Gothic"/>
        </w:rPr>
        <w:t xml:space="preserve">(8) 나쁜 정합등 술전 정합보</w:t>
      </w:r>
    </w:p>
    <w:p>
      <w:pPr>
        <w:spacing w:after="50" w:before="50"/>
      </w:pPr>
    </w:p>
    <w:p>
      <w:pPr>
        <w:spacing w:after="100" w:before="100"/>
      </w:pPr>
      <w:r>
        <w:rPr>
          <w:rFonts w:ascii="Times New Roman" w:cs="Times New Roman" w:eastAsia="Times New Roman" w:hAnsi="Times New Roman"/>
        </w:rPr>
        <w:t xml:space="preserve">3) Timing of surgery</w:t>
      </w:r>
    </w:p>
    <w:p>
      <w:r>
        <w:rPr>
          <w:rFonts w:ascii="Times New Roman" w:cs="Times New Roman" w:eastAsia="Times New Roman" w:hAnsi="Times New Roman"/>
        </w:rPr>
        <w:t xml:space="preserve">- OR/IP : should be performed within 5 to 7 days of injury
</w:t>
      </w:r>
      <w:r>
        <w:rPr>
          <w:rFonts w:ascii="Times New Roman" w:cs="Times New Roman" w:eastAsia="Times New Roman" w:hAnsi="Times New Roman"/>
        </w:rPr>
        <w:t xml:space="preserve">- more difficult after that time because hematoma organization, soft tissue contracture, and subsequent early callus formation hinder the process of fracture reduction, especially if more limited exposures are used.</w:t>
      </w:r>
    </w:p>
    <w:p>
      <w:pPr>
        <w:spacing w:after="50" w:before="50"/>
      </w:pPr>
    </w:p>
    <w:p>
      <w:pPr>
        <w:spacing w:after="100" w:before="150"/>
      </w:pPr>
      <w:r>
        <w:rPr>
          <w:rFonts w:ascii="Times New Roman" w:cs="Times New Roman" w:eastAsia="Times New Roman" w:hAnsi="Times New Roman"/>
        </w:rPr>
        <w:t xml:space="preserve">(4) Choice of surgical approach</w:t>
      </w:r>
    </w:p>
    <w:p>
      <w:r>
        <w:rPr>
          <w:rFonts w:ascii="Times New Roman" w:cs="Times New Roman" w:eastAsia="Times New Roman" w:hAnsi="Times New Roman"/>
        </w:rPr>
        <w:t xml:space="preserve">(1) Kocher-Langenbeck approach
</w:t>
      </w:r>
      <w:r>
        <w:rPr>
          <w:rFonts w:ascii="Times New Roman" w:cs="Times New Roman" w:eastAsia="Times New Roman" w:hAnsi="Times New Roman"/>
        </w:rPr>
        <w:t xml:space="preserve"> - post. wall &amp; post. column Fx, transverse Fx, post. wall Fx + T-shape Fx
</w:t>
      </w:r>
      <w:r>
        <w:rPr>
          <w:rFonts w:ascii="Times New Roman" w:cs="Times New Roman" w:eastAsia="Times New Roman" w:hAnsi="Times New Roman"/>
        </w:rPr>
        <w:t xml:space="preserve"> - Kocher-Langenbeck approach provides direct visualization of the entire lateral aspect of the posterior column of the acetabulum.
</w:t>
      </w:r>
      <w:r>
        <w:rPr>
          <w:rFonts w:ascii="Times New Roman" w:cs="Times New Roman" w:eastAsia="Times New Roman" w:hAnsi="Times New Roman"/>
        </w:rPr>
        <w:t xml:space="preserve">
(2) Ilioinguinal approach
</w:t>
      </w:r>
      <w:r>
        <w:rPr>
          <w:rFonts w:ascii="Times New Roman" w:cs="Times New Roman" w:eastAsia="Times New Roman" w:hAnsi="Times New Roman"/>
        </w:rPr>
        <w:t xml:space="preserve"> - ant. iliac form &amp; iliac crest, ant. wall, transverse Fx., both column Fx의 기능
</w:t>
      </w:r>
      <w:r>
        <w:rPr>
          <w:rFonts w:ascii="Times New Roman" w:cs="Times New Roman" w:eastAsia="Times New Roman" w:hAnsi="Times New Roman"/>
        </w:rPr>
        <w:t xml:space="preserve"> - Ilioinguinal approach allows access to the internal aspect of the innominate bone from the ischium area to the ilium pubis.
</w:t>
      </w:r>
      <w:r>
        <w:rPr>
          <w:rFonts w:ascii="Times New Roman" w:cs="Times New Roman" w:eastAsia="Times New Roman" w:hAnsi="Times New Roman"/>
        </w:rPr>
        <w:t xml:space="preserve"> - Transverse incisions, inner oblique, ant. wall &amp; post. wall fractures
</w:t>
      </w:r>
      <w:r>
        <w:rPr>
          <w:rFonts w:ascii="Times New Roman" w:cs="Times New Roman" w:eastAsia="Times New Roman" w:hAnsi="Times New Roman"/>
        </w:rPr>
        <w:t xml:space="preserve"> - This approach is felt to be advantageous because it offers improved exposure of the quadrilateral surface and posterior column while minimizing dissection in the area of the "middle window" of the ilioinguinal approach.
</w:t>
      </w:r>
      <w:r>
        <w:rPr>
          <w:rFonts w:ascii="Times New Roman" w:cs="Times New Roman" w:eastAsia="Times New Roman" w:hAnsi="Times New Roman"/>
        </w:rPr>
        <w:t xml:space="preserve"> - It is especially useful for fractures requiring buttress plating of the quadrilateral
</w:t>
      </w:r>
      <w:r>
        <w:rPr>
          <w:rFonts w:ascii="Times New Roman" w:cs="Times New Roman" w:eastAsia="Times New Roman" w:hAnsi="Times New Roman"/>
        </w:rPr>
        <w:t xml:space="preserve"> - The advantage over the ilioinguinal is that direction of the vessels is not required.
</w:t>
      </w:r>
      <w:r>
        <w:rPr>
          <w:rFonts w:ascii="Times New Roman" w:cs="Times New Roman" w:eastAsia="Times New Roman" w:hAnsi="Times New Roman"/>
        </w:rPr>
        <w:t xml:space="preserve"> - However, this lack of access to the ilioinguinal "middle window" is also its disadvantage.
</w:t>
      </w:r>
      <w:r>
        <w:rPr>
          <w:rFonts w:ascii="Times New Roman" w:cs="Times New Roman" w:eastAsia="Times New Roman" w:hAnsi="Times New Roman"/>
        </w:rPr>
        <w:t xml:space="preserve"> - With this approach, it is particularly important to locate the obturator nerve
</w:t>
      </w:r>
      <w:r>
        <w:rPr>
          <w:rFonts w:ascii="Times New Roman" w:cs="Times New Roman" w:eastAsia="Times New Roman" w:hAnsi="Times New Roman"/>
        </w:rPr>
        <w:t xml:space="preserve"> - obturator neurovascular bundle crosses the quadrilateral surface and, in some cases, it should be mobilized.</w:t>
      </w:r>
    </w:p>
    <w:p>
      <w:r>
        <w:rPr>
          <w:rFonts w:ascii="Times New Roman" w:cs="Times New Roman" w:eastAsia="Times New Roman" w:hAnsi="Times New Roman"/>
        </w:rPr>
        <w:t xml:space="preserve">&lt;그림 참고. FIGURE 50-52, Adult Rockwood 9판&gt;</w:t>
      </w:r>
    </w:p>
    <w:p>
      <w:pPr>
        <w:spacing w:after="50" w:before="50"/>
      </w:pPr>
    </w:p>
    <w:p>
      <w:r>
        <w:rPr>
          <w:rFonts w:ascii="Times New Roman" w:cs="Times New Roman" w:eastAsia="Times New Roman" w:hAnsi="Times New Roman"/>
        </w:rPr>
        <w:t xml:space="preserve">(3) Extended ilioinguinal approach
</w:t>
      </w:r>
      <w:r>
        <w:rPr>
          <w:rFonts w:ascii="Times New Roman" w:cs="Times New Roman" w:eastAsia="Times New Roman" w:hAnsi="Times New Roman"/>
        </w:rPr>
        <w:t xml:space="preserve"> - Visualization may be extended interoperatively by dividing a portion of the gluteus medius
</w:t>
      </w:r>
      <w:r>
        <w:rPr>
          <w:rFonts w:ascii="Times New Roman" w:cs="Times New Roman" w:eastAsia="Times New Roman" w:hAnsi="Times New Roman"/>
        </w:rPr>
        <w:t xml:space="preserve"> - improves exposure
</w:t>
      </w:r>
      <w:r>
        <w:rPr>
          <w:rFonts w:ascii="Times New Roman" w:cs="Times New Roman" w:eastAsia="Times New Roman" w:hAnsi="Times New Roman"/>
        </w:rPr>
        <w:t xml:space="preserve"> - Transection of the retinacular vessels does not allow entry distal to the inguinal ligament.
</w:t>
      </w:r>
      <w:r>
        <w:rPr>
          <w:rFonts w:ascii="Times New Roman" w:cs="Times New Roman" w:eastAsia="Times New Roman" w:hAnsi="Times New Roman"/>
        </w:rPr>
        <w:t xml:space="preserve"> - In the second, portion of the ilias is accessible but the superior gluteal neurovascular bundle limits pelvic extensions
</w:t>
      </w:r>
      <w:r>
        <w:rPr>
          <w:rFonts w:ascii="Times New Roman" w:cs="Times New Roman" w:eastAsia="Times New Roman" w:hAnsi="Times New Roman"/>
        </w:rPr>
        <w:t xml:space="preserve"> - posterior pelvic structures are more easily accessed without the need for a capsulorraphy in the presence of a fractured posterior wall
</w:t>
      </w:r>
      <w:r>
        <w:rPr>
          <w:rFonts w:ascii="Times New Roman" w:cs="Times New Roman" w:eastAsia="Times New Roman" w:hAnsi="Times New Roman"/>
        </w:rPr>
        <w:t xml:space="preserve"> - complicated fx
</w:t>
      </w:r>
      <w:r>
        <w:rPr>
          <w:rFonts w:ascii="Times New Roman" w:cs="Times New Roman" w:eastAsia="Times New Roman" w:hAnsi="Times New Roman"/>
        </w:rPr>
        <w:t xml:space="preserve"> - allow combined direct access to all aspects of the acetabulum
</w:t>
      </w:r>
      <w:r>
        <w:rPr>
          <w:rFonts w:ascii="Times New Roman" w:cs="Times New Roman" w:eastAsia="Times New Roman" w:hAnsi="Times New Roman"/>
        </w:rPr>
        <w:t xml:space="preserve"> ⊕ anterior wall, anterior column, transverse, T-shaped, anterior column-posterior hemitransverse fractures
</w:t>
      </w:r>
      <w:r>
        <w:rPr>
          <w:rFonts w:ascii="Times New Roman" w:cs="Times New Roman" w:eastAsia="Times New Roman" w:hAnsi="Times New Roman"/>
        </w:rPr>
        <w:t xml:space="preserve"> ⊕ This approach is felt to be advantageous because it offers improved exposure of the quadrilateral surface and posterior column while minimizing dissection in the area of the "middle window" of the ilioinguinal approach.
</w:t>
      </w:r>
      <w:r>
        <w:rPr>
          <w:rFonts w:ascii="Times New Roman" w:cs="Times New Roman" w:eastAsia="Times New Roman" w:hAnsi="Times New Roman"/>
        </w:rPr>
        <w:t xml:space="preserve"> ⊕ It is especially useful for fractures requiring buttress plating of the quadrilateral</w:t>
      </w:r>
    </w:p>
    <w:p>
      <w:r>
        <w:rPr>
          <w:rFonts w:ascii="Times New Roman" w:cs="Times New Roman" w:eastAsia="Times New Roman" w:hAnsi="Times New Roman"/>
        </w:rPr>
        <w:t xml:space="preserve">&lt;그림 참고. FIGURE 50-45, 50-55, Adult Rockwood 9판&gt;</w:t>
      </w:r>
    </w:p>
    <w:p>
      <w:pPr>
        <w:spacing w:after="50" w:before="50"/>
      </w:pPr>
    </w:p>
    <w:p>
      <w:pPr>
        <w:spacing w:after="100" w:before="100"/>
      </w:pPr>
      <w:r>
        <w:rPr>
          <w:rFonts w:ascii="Malgun Gothic" w:cs="Malgun Gothic" w:eastAsia="Malgun Gothic" w:hAnsi="Malgun Gothic"/>
        </w:rPr>
        <w:t xml:space="preserve">4) 골절 유형별 수술적 접근법:</w:t>
      </w:r>
    </w:p>
    <w:p>
      <w:r>
        <w:rPr>
          <w:rFonts w:ascii="Times New Roman" w:cs="Times New Roman" w:eastAsia="Times New Roman" w:hAnsi="Times New Roman"/>
        </w:rPr>
        <w:t xml:space="preserve">① Posterior wall fractures
</w:t>
      </w:r>
      <w:r>
        <w:rPr>
          <w:rFonts w:ascii="Times New Roman" w:cs="Times New Roman" w:eastAsia="Times New Roman" w:hAnsi="Times New Roman"/>
        </w:rPr>
        <w:t xml:space="preserve"> - Kocher-Langenbeck approach
</w:t>
      </w:r>
      <w:r>
        <w:rPr>
          <w:rFonts w:ascii="Times New Roman" w:cs="Times New Roman" w:eastAsia="Times New Roman" w:hAnsi="Times New Roman"/>
        </w:rPr>
        <w:t xml:space="preserve"> - typical fixation is a lag screw combined with buttress plate
</w:t>
      </w:r>
      <w:r>
        <w:rPr>
          <w:rFonts w:ascii="Times New Roman" w:cs="Times New Roman" w:eastAsia="Times New Roman" w:hAnsi="Times New Roman"/>
        </w:rPr>
        <w:t xml:space="preserve">
② Posterior column fractures
</w:t>
      </w:r>
      <w:r>
        <w:rPr>
          <w:rFonts w:ascii="Times New Roman" w:cs="Times New Roman" w:eastAsia="Times New Roman" w:hAnsi="Times New Roman"/>
        </w:rPr>
        <w:t xml:space="preserve"> - Kocher-Langenbeck approach
</w:t>
      </w:r>
      <w:r>
        <w:rPr>
          <w:rFonts w:ascii="Times New Roman" w:cs="Times New Roman" w:eastAsia="Times New Roman" w:hAnsi="Times New Roman"/>
        </w:rPr>
        <w:t xml:space="preserve"> - typical fixation is a lag screw
</w:t>
      </w:r>
      <w:r>
        <w:rPr>
          <w:rFonts w:ascii="Times New Roman" w:cs="Times New Roman" w:eastAsia="Times New Roman" w:hAnsi="Times New Roman"/>
        </w:rPr>
        <w:t xml:space="preserve">
③ Anterior wall and anterior column fractures
</w:t>
      </w:r>
      <w:r>
        <w:rPr>
          <w:rFonts w:ascii="Times New Roman" w:cs="Times New Roman" w:eastAsia="Times New Roman" w:hAnsi="Times New Roman"/>
        </w:rPr>
        <w:t xml:space="preserve"> - Ilioinguinal approach
</w:t>
      </w:r>
      <w:r>
        <w:rPr>
          <w:rFonts w:ascii="Times New Roman" w:cs="Times New Roman" w:eastAsia="Times New Roman" w:hAnsi="Times New Roman"/>
        </w:rPr>
        <w:t xml:space="preserve"> - direct access to the iliac crest and the entire internal aspect of the innominate bone from the ischium to the ilium pubis.
</w:t>
      </w:r>
      <w:r>
        <w:rPr>
          <w:rFonts w:ascii="Times New Roman" w:cs="Times New Roman" w:eastAsia="Times New Roman" w:hAnsi="Times New Roman"/>
        </w:rPr>
        <w:t xml:space="preserve">
④ Transverse fractures
</w:t>
      </w:r>
      <w:r>
        <w:rPr>
          <w:rFonts w:ascii="Malgun Gothic" w:cs="Malgun Gothic" w:eastAsia="Malgun Gothic" w:hAnsi="Malgun Gothic"/>
        </w:rPr>
        <w:t xml:space="preserve"> - Ilioinguinal Fx 및 환자 기능 정한 정한 전주상 접근의 역한 포함
</w:t>
      </w:r>
      <w:r>
        <w:rPr>
          <w:rFonts w:ascii="Times New Roman" w:cs="Times New Roman" w:eastAsia="Times New Roman" w:hAnsi="Times New Roman"/>
        </w:rPr>
        <w:t xml:space="preserve"> - worst prognosis, accurate reduction is essential
</w:t>
      </w:r>
      <w:r>
        <w:rPr>
          <w:rFonts w:ascii="Times New Roman" w:cs="Times New Roman" w:eastAsia="Times New Roman" w:hAnsi="Times New Roman"/>
        </w:rPr>
        <w:t xml:space="preserve"> ⊕ Iliofemorall fx
</w:t>
      </w:r>
      <w:r>
        <w:rPr>
          <w:rFonts w:ascii="Times New Roman" w:cs="Times New Roman" w:eastAsia="Times New Roman" w:hAnsi="Times New Roman"/>
        </w:rPr>
        <w:t xml:space="preserve"> - can be treated independently
</w:t>
      </w:r>
      <w:r>
        <w:rPr>
          <w:rFonts w:ascii="Times New Roman" w:cs="Times New Roman" w:eastAsia="Times New Roman" w:hAnsi="Times New Roman"/>
        </w:rPr>
        <w:t xml:space="preserve"> ⊕ Kocher-Langenbeck approach with associated posterior wall fracture
</w:t>
      </w:r>
      <w:r>
        <w:rPr>
          <w:rFonts w:ascii="Times New Roman" w:cs="Times New Roman" w:eastAsia="Times New Roman" w:hAnsi="Times New Roman"/>
        </w:rPr>
        <w:t xml:space="preserve"> - when associated posterior wall fracture
</w:t>
      </w:r>
      <w:r>
        <w:rPr>
          <w:rFonts w:ascii="Times New Roman" w:cs="Times New Roman" w:eastAsia="Times New Roman" w:hAnsi="Times New Roman"/>
        </w:rPr>
        <w:t xml:space="preserve"> ⊕ Transverse fracture with associated posterior wall fracture
</w:t>
      </w:r>
      <w:r>
        <w:rPr>
          <w:rFonts w:ascii="Times New Roman" w:cs="Times New Roman" w:eastAsia="Times New Roman" w:hAnsi="Times New Roman"/>
        </w:rPr>
        <w:t xml:space="preserve"> - Kocher-Langenbeck approach
</w:t>
      </w:r>
      <w:r>
        <w:rPr>
          <w:rFonts w:ascii="Malgun Gothic" w:cs="Malgun Gothic" w:eastAsia="Malgun Gothic" w:hAnsi="Malgun Gothic"/>
        </w:rPr>
        <w:t xml:space="preserve"> - transverse fracture 원인 정한, 정한 중 금옻은 나타는 고정
</w:t>
      </w:r>
      <w:r>
        <w:rPr>
          <w:rFonts w:ascii="Malgun Gothic" w:cs="Malgun Gothic" w:eastAsia="Malgun Gothic" w:hAnsi="Malgun Gothic"/>
        </w:rPr>
        <w:t xml:space="preserve"> - 정한 금옻은 중요성 고정
</w:t>
      </w:r>
      <w:r>
        <w:rPr>
          <w:rFonts w:ascii="Times New Roman" w:cs="Times New Roman" w:eastAsia="Times New Roman" w:hAnsi="Times New Roman"/>
        </w:rPr>
        <w:t xml:space="preserve"> ⊕ T-type fracture
</w:t>
      </w:r>
      <w:r>
        <w:rPr>
          <w:rFonts w:ascii="Times New Roman" w:cs="Times New Roman" w:eastAsia="Times New Roman" w:hAnsi="Times New Roman"/>
        </w:rPr>
        <w:t xml:space="preserve"> - Modified Kocher-Langenbeck approach
</w:t>
      </w:r>
      <w:r>
        <w:rPr>
          <w:rFonts w:ascii="Times New Roman" w:cs="Times New Roman" w:eastAsia="Times New Roman" w:hAnsi="Times New Roman"/>
        </w:rPr>
        <w:t xml:space="preserve"> ⊕ Anterior column-posterior hemitransverse fractures
</w:t>
      </w:r>
      <w:r>
        <w:rPr>
          <w:rFonts w:ascii="Times New Roman" w:cs="Times New Roman" w:eastAsia="Times New Roman" w:hAnsi="Times New Roman"/>
        </w:rPr>
        <w:t xml:space="preserve"> - Ilioinguinal approach
</w:t>
      </w:r>
      <w:r>
        <w:rPr>
          <w:rFonts w:ascii="Malgun Gothic" w:cs="Malgun Gothic" w:eastAsia="Malgun Gothic" w:hAnsi="Malgun Gothic"/>
        </w:rPr>
        <w:t xml:space="preserve"> - 정한 금옻은 원인 정한
</w:t>
      </w:r>
      <w:r>
        <w:rPr>
          <w:rFonts w:ascii="Times New Roman" w:cs="Times New Roman" w:eastAsia="Times New Roman" w:hAnsi="Times New Roman"/>
        </w:rPr>
        <w:t xml:space="preserve"> ⊕ Both-column fractures
</w:t>
      </w:r>
      <w:r>
        <w:rPr>
          <w:rFonts w:ascii="Times New Roman" w:cs="Times New Roman" w:eastAsia="Times New Roman" w:hAnsi="Times New Roman"/>
        </w:rPr>
        <w:t xml:space="preserve"> - Ilioinguinal approach
</w:t>
      </w:r>
      <w:r>
        <w:rPr>
          <w:rFonts w:ascii="Malgun Gothic" w:cs="Malgun Gothic" w:eastAsia="Malgun Gothic" w:hAnsi="Malgun Gothic"/>
        </w:rPr>
        <w:t xml:space="preserve"> - 정한 금옻은 원인 정합 정한 정합 정합
</w:t>
      </w:r>
      <w:r>
        <w:rPr>
          <w:rFonts w:ascii="Times New Roman" w:cs="Times New Roman" w:eastAsia="Times New Roman" w:hAnsi="Times New Roman"/>
        </w:rPr>
        <w:t xml:space="preserve">
③ Complications
</w:t>
      </w:r>
      <w:r>
        <w:rPr>
          <w:rFonts w:ascii="Times New Roman" w:cs="Times New Roman" w:eastAsia="Times New Roman" w:hAnsi="Times New Roman"/>
        </w:rPr>
        <w:t xml:space="preserve">(1) Infection
</w:t>
      </w:r>
      <w:r>
        <w:rPr>
          <w:rFonts w:ascii="Malgun Gothic" w:cs="Malgun Gothic" w:eastAsia="Malgun Gothic" w:hAnsi="Malgun Gothic"/>
        </w:rPr>
        <w:t xml:space="preserve"> - 빈도: 4.2-5% (깊은 감염은 0.5-3%)
</w:t>
      </w:r>
      <w:r>
        <w:rPr>
          <w:rFonts w:ascii="Malgun Gothic" w:cs="Malgun Gothic" w:eastAsia="Malgun Gothic" w:hAnsi="Malgun Gothic"/>
        </w:rPr>
        <w:t xml:space="preserve"> - 원인: 개방골절의 더 높은 감염률, 광범위 연부조직 손상 등
</w:t>
      </w:r>
      <w:r>
        <w:rPr>
          <w:rFonts w:ascii="Times New Roman" w:cs="Times New Roman" w:eastAsia="Times New Roman" w:hAnsi="Times New Roman"/>
        </w:rPr>
        <w:t xml:space="preserve">
(2) Nerve injury
</w:t>
      </w:r>
      <w:r>
        <w:rPr>
          <w:rFonts w:ascii="Malgun Gothic" w:cs="Malgun Gothic" w:eastAsia="Malgun Gothic" w:hAnsi="Malgun Gothic"/>
        </w:rPr>
        <w:t xml:space="preserve"> - 좌골신경 손상 (10% 정도)
</w:t>
      </w:r>
      <w:r>
        <w:rPr>
          <w:rFonts w:ascii="Malgun Gothic" w:cs="Malgun Gothic" w:eastAsia="Malgun Gothic" w:hAnsi="Malgun Gothic"/>
        </w:rPr>
        <w:t xml:space="preserve"> - 골반신경 손상: 후벽 동반 50-90%
</w:t>
      </w:r>
      <w:r>
        <w:rPr>
          <w:rFonts w:ascii="Times New Roman" w:cs="Times New Roman" w:eastAsia="Times New Roman" w:hAnsi="Times New Roman"/>
        </w:rPr>
        <w:t xml:space="preserve"> - lateral femoral cutaneous nerve (Ilioinguinal neuralgia)</w:t>
      </w:r>
    </w:p>
    <w:p>
      <w:pPr>
        <w:spacing w:after="50" w:before="50"/>
      </w:pPr>
    </w:p>
    <w:p>
      <w:pPr>
        <w:spacing w:after="100" w:before="100"/>
      </w:pPr>
      <w:r>
        <w:rPr>
          <w:rFonts w:ascii="Times New Roman" w:cs="Times New Roman" w:eastAsia="Times New Roman" w:hAnsi="Times New Roman"/>
        </w:rPr>
        <w:t xml:space="preserve">5) Modified Stoppa approach</w:t>
      </w:r>
    </w:p>
    <w:p>
      <w:r>
        <w:rPr>
          <w:rFonts w:ascii="Times New Roman" w:cs="Times New Roman" w:eastAsia="Times New Roman" w:hAnsi="Times New Roman"/>
        </w:rPr>
        <w:t xml:space="preserve">① Modified Stoppa Intervapelvic approach
</w:t>
      </w:r>
      <w:r>
        <w:rPr>
          <w:rFonts w:ascii="Times New Roman" w:cs="Times New Roman" w:eastAsia="Times New Roman" w:hAnsi="Times New Roman"/>
        </w:rPr>
        <w:t xml:space="preserve"> - This approach is felt to be advantageous because it offers improved
</w:t>
      </w:r>
      <w:r>
        <w:rPr>
          <w:rFonts w:ascii="Times New Roman" w:cs="Times New Roman" w:eastAsia="Times New Roman" w:hAnsi="Times New Roman"/>
        </w:rPr>
        <w:t xml:space="preserve"> - exposure of the quadrilateral surface and posterior column
</w:t>
      </w:r>
      <w:r>
        <w:rPr>
          <w:rFonts w:ascii="Times New Roman" w:cs="Times New Roman" w:eastAsia="Times New Roman" w:hAnsi="Times New Roman"/>
        </w:rPr>
        <w:t xml:space="preserve"> - obturator neurovascular bundle creates the quadrilateral surface and in
</w:t>
      </w:r>
      <w:r>
        <w:rPr>
          <w:rFonts w:ascii="Times New Roman" w:cs="Times New Roman" w:eastAsia="Times New Roman" w:hAnsi="Times New Roman"/>
        </w:rPr>
        <w:t xml:space="preserve"> - some cases it should be mobilized (camped)
</w:t>
      </w:r>
      <w:r>
        <w:rPr>
          <w:rFonts w:ascii="Times New Roman" w:cs="Times New Roman" w:eastAsia="Times New Roman" w:hAnsi="Times New Roman"/>
        </w:rPr>
        <w:t xml:space="preserve"> &lt;그림 참고. FIGURE 50-34, 50-41, Adult Rockwood 9판&gt;
</w:t>
      </w:r>
      <w:r>
        <w:rPr>
          <w:rFonts w:ascii="Times New Roman" w:cs="Times New Roman" w:eastAsia="Times New Roman" w:hAnsi="Times New Roman"/>
        </w:rPr>
        <w:t xml:space="preserve"> &lt;그림 참고. FIGURE 56-28, Campbell 14판&gt;</w:t>
      </w:r>
    </w:p>
    <w:p>
      <w:pPr>
        <w:spacing w:after="50" w:before="50"/>
      </w:pPr>
    </w:p>
    <w:p>
      <w:pPr>
        <w:spacing w:after="100" w:before="100"/>
      </w:pPr>
      <w:r>
        <w:rPr>
          <w:rFonts w:ascii="Malgun Gothic" w:cs="Malgun Gothic" w:eastAsia="Malgun Gothic" w:hAnsi="Malgun Gothic"/>
        </w:rPr>
        <w:t xml:space="preserve">6) 비구골절 특수 병판 위치별 접근:</w:t>
      </w:r>
    </w:p>
    <w:p>
      <w:r>
        <w:rPr>
          <w:rFonts w:ascii="Times New Roman" w:cs="Times New Roman" w:eastAsia="Times New Roman" w:hAnsi="Times New Roman"/>
        </w:rPr>
        <w:t xml:space="preserve">① Anterior iliac wing fracture (iliac wing)
</w:t>
      </w:r>
      <w:r>
        <w:rPr>
          <w:rFonts w:ascii="Times New Roman" w:cs="Times New Roman" w:eastAsia="Times New Roman" w:hAnsi="Times New Roman"/>
        </w:rPr>
        <w:t xml:space="preserve"> - fracture of one or both columns with extension into the ilium due to indirect trauma from reduction secondary to lateral force transmission.
</w:t>
      </w:r>
      <w:r>
        <w:rPr>
          <w:rFonts w:ascii="Times New Roman" w:cs="Times New Roman" w:eastAsia="Times New Roman" w:hAnsi="Times New Roman"/>
        </w:rPr>
        <w:t xml:space="preserve"> - Direct visualization of the fracture is achieved by the ilioinguinal approach.
</w:t>
      </w:r>
      <w:r>
        <w:rPr>
          <w:rFonts w:ascii="Times New Roman" w:cs="Times New Roman" w:eastAsia="Times New Roman" w:hAnsi="Times New Roman"/>
        </w:rPr>
        <w:t xml:space="preserve"> - This approach does not allow direct access to the hip joint.
</w:t>
      </w:r>
      <w:r>
        <w:rPr>
          <w:rFonts w:ascii="Times New Roman" w:cs="Times New Roman" w:eastAsia="Times New Roman" w:hAnsi="Times New Roman"/>
        </w:rPr>
        <w:t xml:space="preserve"> - Fractures requiring direct visualization for removal of intra-articular loose bodies or for fractures with secondary dorsal muscle mass extending muscle.
</w:t>
      </w:r>
      <w:r>
        <w:rPr>
          <w:rFonts w:ascii="Times New Roman" w:cs="Times New Roman" w:eastAsia="Times New Roman" w:hAnsi="Times New Roman"/>
        </w:rPr>
        <w:t xml:space="preserve"> - The greater sciatica notches are visualized by transecting the gluteus and obturator internus tendons and by releasing the abductor.
</w:t>
      </w:r>
      <w:r>
        <w:rPr>
          <w:rFonts w:ascii="Times New Roman" w:cs="Times New Roman" w:eastAsia="Times New Roman" w:hAnsi="Times New Roman"/>
        </w:rPr>
        <w:t xml:space="preserve"> - Visualization may be extended interoperatively by dividing a portion of the gluteus medius
</w:t>
      </w:r>
      <w:r>
        <w:rPr>
          <w:rFonts w:ascii="Times New Roman" w:cs="Times New Roman" w:eastAsia="Times New Roman" w:hAnsi="Times New Roman"/>
        </w:rPr>
        <w:t xml:space="preserve"> - improves exposure
</w:t>
      </w:r>
      <w:r>
        <w:rPr>
          <w:rFonts w:ascii="Times New Roman" w:cs="Times New Roman" w:eastAsia="Times New Roman" w:hAnsi="Times New Roman"/>
        </w:rPr>
        <w:t xml:space="preserve"> - Transection of the retinacular vessels does not prevent the femoral head from fully seating into the acetabulum
</w:t>
      </w:r>
      <w:r>
        <w:rPr>
          <w:rFonts w:ascii="Times New Roman" w:cs="Times New Roman" w:eastAsia="Times New Roman" w:hAnsi="Times New Roman"/>
        </w:rPr>
        <w:t xml:space="preserve"> - The buttress plate is best placed parallel and close to the rim of the acetabulum.
</w:t>
      </w:r>
      <w:r>
        <w:rPr>
          <w:rFonts w:ascii="Times New Roman" w:cs="Times New Roman" w:eastAsia="Times New Roman" w:hAnsi="Times New Roman"/>
        </w:rPr>
        <w:t xml:space="preserve"> - Where it can provide the best buttress for the wall fragments
</w:t>
      </w:r>
      <w:r>
        <w:rPr>
          <w:rFonts w:ascii="Times New Roman" w:cs="Times New Roman" w:eastAsia="Times New Roman" w:hAnsi="Times New Roman"/>
        </w:rPr>
        <w:t xml:space="preserve"> - Mostly, three screws are placed cephalad to the fracture fragments and two placed distal.
</w:t>
      </w:r>
      <w:r>
        <w:rPr>
          <w:rFonts w:ascii="Times New Roman" w:cs="Times New Roman" w:eastAsia="Times New Roman" w:hAnsi="Times New Roman"/>
        </w:rPr>
        <w:t xml:space="preserve"> - with one of them being a long screw into the ischium.
</w:t>
      </w:r>
      <w:r>
        <w:rPr>
          <w:rFonts w:ascii="Malgun Gothic" w:cs="Malgun Gothic" w:eastAsia="Malgun Gothic" w:hAnsi="Malgun Gothic"/>
        </w:rPr>
        <w:t xml:space="preserve"> - 정합 정합되기 중국 한 정합 중요하고 고정된 것 중계동점 피하기 정합이</w:t>
      </w:r>
    </w:p>
    <w:p>
      <w:pPr>
        <w:spacing w:after="50" w:before="50"/>
      </w:pPr>
    </w:p>
    <w:p>
      <w:pPr>
        <w:spacing w:after="100" w:before="100"/>
      </w:pPr>
      <w:r>
        <w:rPr>
          <w:rFonts w:ascii="Times New Roman" w:cs="Times New Roman" w:eastAsia="Times New Roman" w:hAnsi="Times New Roman"/>
        </w:rPr>
        <w:t xml:space="preserve">7) TABLE 4-7 ORF of Posterior Wall Fractures Surgical Steps</w:t>
      </w:r>
    </w:p>
    <w:p>
      <w:r>
        <w:rPr>
          <w:rFonts w:ascii="Times New Roman" w:cs="Times New Roman" w:eastAsia="Times New Roman" w:hAnsi="Times New Roman"/>
        </w:rPr>
        <w:t xml:space="preserve">- Expose and identify fracture fragments
</w:t>
      </w:r>
      <w:r>
        <w:rPr>
          <w:rFonts w:ascii="Times New Roman" w:cs="Times New Roman" w:eastAsia="Times New Roman" w:hAnsi="Times New Roman"/>
        </w:rPr>
        <w:t xml:space="preserve">- Protect sciatic nerve
</w:t>
      </w:r>
      <w:r>
        <w:rPr>
          <w:rFonts w:ascii="Times New Roman" w:cs="Times New Roman" w:eastAsia="Times New Roman" w:hAnsi="Times New Roman"/>
        </w:rPr>
        <w:t xml:space="preserve">- Carefully disengage posterior wall segments while maintaining capsular attachments
</w:t>
      </w:r>
      <w:r>
        <w:rPr>
          <w:rFonts w:ascii="Times New Roman" w:cs="Times New Roman" w:eastAsia="Times New Roman" w:hAnsi="Times New Roman"/>
        </w:rPr>
        <w:t xml:space="preserve">- Identify and remove intra-articular debris
</w:t>
      </w:r>
      <w:r>
        <w:rPr>
          <w:rFonts w:ascii="Times New Roman" w:cs="Times New Roman" w:eastAsia="Times New Roman" w:hAnsi="Times New Roman"/>
        </w:rPr>
        <w:t xml:space="preserve">- Reduce femoral head into acetabulum
</w:t>
      </w:r>
      <w:r>
        <w:rPr>
          <w:rFonts w:ascii="Times New Roman" w:cs="Times New Roman" w:eastAsia="Times New Roman" w:hAnsi="Times New Roman"/>
        </w:rPr>
        <w:t xml:space="preserve">- Manually reposition femoral head into fragments
</w:t>
      </w:r>
      <w:r>
        <w:rPr>
          <w:rFonts w:ascii="Times New Roman" w:cs="Times New Roman" w:eastAsia="Times New Roman" w:hAnsi="Times New Roman"/>
        </w:rPr>
        <w:t xml:space="preserve">- Identify, label of marginal impaction
</w:t>
      </w:r>
      <w:r>
        <w:rPr>
          <w:rFonts w:ascii="Times New Roman" w:cs="Times New Roman" w:eastAsia="Times New Roman" w:hAnsi="Times New Roman"/>
        </w:rPr>
        <w:t xml:space="preserve">- Using the femoral head as a template
</w:t>
      </w:r>
      <w:r>
        <w:rPr>
          <w:rFonts w:ascii="Times New Roman" w:cs="Times New Roman" w:eastAsia="Times New Roman" w:hAnsi="Times New Roman"/>
        </w:rPr>
        <w:t xml:space="preserve">- Elevate and reduce marginal impaction
</w:t>
      </w:r>
      <w:r>
        <w:rPr>
          <w:rFonts w:ascii="Times New Roman" w:cs="Times New Roman" w:eastAsia="Times New Roman" w:hAnsi="Times New Roman"/>
        </w:rPr>
        <w:t xml:space="preserve">- Clean and remove osteochondral fragments
</w:t>
      </w:r>
      <w:r>
        <w:rPr>
          <w:rFonts w:ascii="Times New Roman" w:cs="Times New Roman" w:eastAsia="Times New Roman" w:hAnsi="Times New Roman"/>
        </w:rPr>
        <w:t xml:space="preserve">- Fill underlying bone void with graft material
</w:t>
      </w:r>
      <w:r>
        <w:rPr>
          <w:rFonts w:ascii="Times New Roman" w:cs="Times New Roman" w:eastAsia="Times New Roman" w:hAnsi="Times New Roman"/>
        </w:rPr>
        <w:t xml:space="preserve">- Replace fractures with lacrimal/cortical pegs or prostheses, as needed
</w:t>
      </w:r>
      <w:r>
        <w:rPr>
          <w:rFonts w:ascii="Times New Roman" w:cs="Times New Roman" w:eastAsia="Times New Roman" w:hAnsi="Times New Roman"/>
        </w:rPr>
        <w:t xml:space="preserve">- Individually fix the nail fragments using lag screws without excessive tightening
</w:t>
      </w:r>
      <w:r>
        <w:rPr>
          <w:rFonts w:ascii="Times New Roman" w:cs="Times New Roman" w:eastAsia="Times New Roman" w:hAnsi="Times New Roman"/>
        </w:rPr>
        <w:t xml:space="preserve">- Buttress the important using a well-contoured 3.5-mm reconstruction plate
</w:t>
      </w:r>
      <w:r>
        <w:rPr>
          <w:rFonts w:ascii="Times New Roman" w:cs="Times New Roman" w:eastAsia="Times New Roman" w:hAnsi="Times New Roman"/>
        </w:rPr>
        <w:t xml:space="preserve">- Fully tighten all lag screws</w:t>
      </w:r>
    </w:p>
    <w:p>
      <w:pPr>
        <w:spacing w:after="50" w:before="50"/>
      </w:pPr>
    </w:p>
    <w:p>
      <w:pPr>
        <w:spacing w:after="100" w:before="100"/>
      </w:pPr>
      <w:r>
        <w:rPr>
          <w:rFonts w:ascii="Malgun Gothic" w:cs="Malgun Gothic" w:eastAsia="Malgun Gothic" w:hAnsi="Malgun Gothic"/>
        </w:rPr>
        <w:t xml:space="preserve">8) 비구골절 합병증</w:t>
      </w:r>
    </w:p>
    <w:p>
      <w:r>
        <w:rPr>
          <w:rFonts w:ascii="Malgun Gothic" w:cs="Malgun Gothic" w:eastAsia="Malgun Gothic" w:hAnsi="Malgun Gothic"/>
        </w:rPr>
        <w:t xml:space="preserve">① 감염
</w:t>
      </w:r>
      <w:r>
        <w:rPr>
          <w:rFonts w:ascii="Malgun Gothic" w:cs="Malgun Gothic" w:eastAsia="Malgun Gothic" w:hAnsi="Malgun Gothic"/>
        </w:rPr>
        <w:t xml:space="preserve">   - 빈도: 4.2-5% (깊은 감염은 0.5-3%)
</w:t>
      </w:r>
      <w:r>
        <w:rPr>
          <w:rFonts w:ascii="Malgun Gothic" w:cs="Malgun Gothic" w:eastAsia="Malgun Gothic" w:hAnsi="Malgun Gothic"/>
        </w:rPr>
        <w:t xml:space="preserve">   - 원인: 개방골절의 더 높은 감염률, 광범위 연부조직 손상 등
</w:t>
      </w:r>
      <w:r>
        <w:rPr>
          <w:rFonts w:ascii="Malgun Gothic" w:cs="Malgun Gothic" w:eastAsia="Malgun Gothic" w:hAnsi="Malgun Gothic"/>
        </w:rPr>
        <w:t xml:space="preserve">② 신경 손상
</w:t>
      </w:r>
      <w:r>
        <w:rPr>
          <w:rFonts w:ascii="Malgun Gothic" w:cs="Malgun Gothic" w:eastAsia="Malgun Gothic" w:hAnsi="Malgun Gothic"/>
        </w:rPr>
        <w:t xml:space="preserve">   - 좌골신경 손상 (10% 정도)
</w:t>
      </w:r>
      <w:r>
        <w:rPr>
          <w:rFonts w:ascii="Malgun Gothic" w:cs="Malgun Gothic" w:eastAsia="Malgun Gothic" w:hAnsi="Malgun Gothic"/>
        </w:rPr>
        <w:t xml:space="preserve">   - 골반신경 손상: 후벽 동반 50-90%
</w:t>
      </w:r>
      <w:r>
        <w:rPr>
          <w:rFonts w:ascii="Malgun Gothic" w:cs="Malgun Gothic" w:eastAsia="Malgun Gothic" w:hAnsi="Malgun Gothic"/>
        </w:rPr>
        <w:t xml:space="preserve">   - 대퇴 외측 피부신경 손상(tibia fibronectin personol division) 정법
</w:t>
      </w:r>
      <w:r>
        <w:rPr>
          <w:rFonts w:ascii="Malgun Gothic" w:cs="Malgun Gothic" w:eastAsia="Malgun Gothic" w:hAnsi="Malgun Gothic"/>
        </w:rPr>
        <w:t xml:space="preserve">   - Lateral femoral cutaneous nerve는 보존적 치료 및 보존기 관절의 격렬히 없거나 약간 생김
</w:t>
      </w:r>
      <w:r>
        <w:rPr>
          <w:rFonts w:ascii="Times New Roman" w:cs="Times New Roman" w:eastAsia="Times New Roman" w:hAnsi="Times New Roman"/>
        </w:rPr>
        <w:t xml:space="preserve">
③ Heterotopic ossification
</w:t>
      </w:r>
      <w:r>
        <w:rPr>
          <w:rFonts w:ascii="Times New Roman" w:cs="Times New Roman" w:eastAsia="Times New Roman" w:hAnsi="Times New Roman"/>
        </w:rPr>
        <w:t xml:space="preserve"> - Kocher-Langenbeck approach ≥25% (5-9번안)
</w:t>
      </w:r>
      <w:r>
        <w:rPr>
          <w:rFonts w:ascii="Malgun Gothic" w:cs="Malgun Gothic" w:eastAsia="Malgun Gothic" w:hAnsi="Malgun Gothic"/>
        </w:rPr>
        <w:t xml:space="preserve"> - 보 다음의 방수류 이미 약정될 수 있는 미중
</w:t>
      </w:r>
      <w:r>
        <w:rPr>
          <w:rFonts w:ascii="Times New Roman" w:cs="Times New Roman" w:eastAsia="Times New Roman" w:hAnsi="Times New Roman"/>
        </w:rPr>
        <w:t xml:space="preserve"> - indomethacin, 750mJy BTx
</w:t>
      </w:r>
      <w:r>
        <w:rPr>
          <w:rFonts w:ascii="Malgun Gothic" w:cs="Malgun Gothic" w:eastAsia="Malgun Gothic" w:hAnsi="Malgun Gothic"/>
        </w:rPr>
        <w:t xml:space="preserve"> - 고해점 기능이 심하면 영향을 상하는 거부면 정합 손상이 초래 중류</w:t>
      </w:r>
    </w:p>
    <w:p>
      <w:pPr>
        <w:spacing w:after="50" w:before="50"/>
      </w:pPr>
    </w:p>
    <w:p>
      <w:pPr>
        <w:spacing w:after="150" w:before="200"/>
      </w:pPr>
      <w:r>
        <w:rPr>
          <w:rFonts w:ascii="Malgun Gothic" w:cs="Malgun Gothic" w:eastAsia="Malgun Gothic" w:hAnsi="Malgun Gothic"/>
        </w:rPr>
        <w:t xml:space="preserve">연습문제</w:t>
      </w:r>
    </w:p>
    <w:p>
      <w:pPr>
        <w:spacing w:after="100"/>
      </w:pPr>
      <w:r>
        <w:rPr>
          <w:rFonts w:ascii="Malgun Gothic" w:cs="Malgun Gothic" w:eastAsia="Malgun Gothic" w:hAnsi="Malgun Gothic"/>
        </w:rPr>
        <w:t xml:space="preserve">1. Modified stoppa approach에 quadrilateral surface 접근이 가장 잘 이루어질 수 있는 이유는?</w:t>
      </w:r>
    </w:p>
    <w:p>
      <w:r>
        <w:rPr>
          <w:rFonts w:ascii="Malgun Gothic" w:cs="Malgun Gothic" w:eastAsia="Malgun Gothic" w:hAnsi="Malgun Gothic"/>
        </w:rPr>
        <w:t xml:space="preserve">① Posterior column Fx. + post. wall Fx.에 적합
② Transverse Fx.에 적합
③ 두 개 모두 가능
④ 수술 정합 선택 기준
⑤ Ilioingunial approach 우월</w:t>
      </w:r>
    </w:p>
    <w:p>
      <w:pPr>
        <w:spacing w:after="100"/>
      </w:pPr>
      <w:r>
        <w:rPr>
          <w:rFonts w:ascii="Malgun Gothic" w:cs="Malgun Gothic" w:eastAsia="Malgun Gothic" w:hAnsi="Malgun Gothic"/>
        </w:rPr>
        <w:t xml:space="preserve">정답: ①</w:t>
      </w:r>
    </w:p>
    <w:p>
      <w:r>
        <w:rPr>
          <w:rFonts w:ascii="Times New Roman" w:cs="Times New Roman" w:eastAsia="Times New Roman" w:hAnsi="Times New Roman"/>
        </w:rPr>
        <w:t xml:space="preserve">&lt;Kim's solution&gt;
</w:t>
      </w:r>
      <w:r>
        <w:rPr>
          <w:rFonts w:ascii="Malgun Gothic" w:cs="Malgun Gothic" w:eastAsia="Malgun Gothic" w:hAnsi="Malgun Gothic"/>
        </w:rPr>
        <w:t xml:space="preserve">Modified Stoppa approach의 장점:
</w:t>
      </w:r>
      <w:r>
        <w:rPr>
          <w:rFonts w:ascii="Times New Roman" w:cs="Times New Roman" w:eastAsia="Times New Roman" w:hAnsi="Times New Roman"/>
        </w:rPr>
        <w:t xml:space="preserve">- improved exposure of the quadrilateral surface
</w:t>
      </w:r>
      <w:r>
        <w:rPr>
          <w:rFonts w:ascii="Times New Roman" w:cs="Times New Roman" w:eastAsia="Times New Roman" w:hAnsi="Times New Roman"/>
        </w:rPr>
        <w:t xml:space="preserve">- improved exposure of posterior column
</w:t>
      </w:r>
      <w:r>
        <w:rPr>
          <w:rFonts w:ascii="Malgun Gothic" w:cs="Malgun Gothic" w:eastAsia="Malgun Gothic" w:hAnsi="Malgun Gothic"/>
        </w:rPr>
        <w:t xml:space="preserve">- 이는 obturator 신경의 위치 파악이 용이하기 때문</w:t>
      </w:r>
    </w:p>
    <w:p>
      <w:pPr>
        <w:spacing w:after="50" w:before="50"/>
      </w:pPr>
    </w:p>
    <w:p>
      <w:pPr>
        <w:spacing w:after="100"/>
      </w:pPr>
      <w:r>
        <w:rPr>
          <w:rFonts w:ascii="Malgun Gothic" w:cs="Malgun Gothic" w:eastAsia="Malgun Gothic" w:hAnsi="Malgun Gothic"/>
        </w:rPr>
        <w:t xml:space="preserve">2. Posterior wall column 골절시 치료법 선택 기준 중 정한 정합이 정분 가능 가정은?</w:t>
      </w:r>
    </w:p>
    <w:p>
      <w:r>
        <w:rPr>
          <w:rFonts w:ascii="Malgun Gothic" w:cs="Malgun Gothic" w:eastAsia="Malgun Gothic" w:hAnsi="Malgun Gothic"/>
        </w:rPr>
        <w:t xml:space="preserve">① 3mm 이상 전위
② roof arc angle &lt; 45°
③ CT상 50% 이상 벽이 이상되는 여부
④ 모두 가능
⑤ ①과 ②만 가능</w:t>
      </w:r>
    </w:p>
    <w:p>
      <w:pPr>
        <w:spacing w:after="100"/>
      </w:pPr>
      <w:r>
        <w:rPr>
          <w:rFonts w:ascii="Malgun Gothic" w:cs="Malgun Gothic" w:eastAsia="Malgun Gothic" w:hAnsi="Malgun Gothic"/>
        </w:rPr>
        <w:t xml:space="preserve">정답: ④</w:t>
      </w:r>
    </w:p>
    <w:p>
      <w:r>
        <w:rPr>
          <w:rFonts w:ascii="Times New Roman" w:cs="Times New Roman" w:eastAsia="Times New Roman" w:hAnsi="Times New Roman"/>
        </w:rPr>
        <w:t xml:space="preserve">&lt;Kim's solution&gt;
</w:t>
      </w:r>
      <w:r>
        <w:rPr>
          <w:rFonts w:ascii="Malgun Gothic" w:cs="Malgun Gothic" w:eastAsia="Malgun Gothic" w:hAnsi="Malgun Gothic"/>
        </w:rPr>
        <w:t xml:space="preserve">Operative indication 판단:
</w:t>
      </w:r>
      <w:r>
        <w:rPr>
          <w:rFonts w:ascii="Times New Roman" w:cs="Times New Roman" w:eastAsia="Times New Roman" w:hAnsi="Times New Roman"/>
        </w:rPr>
        <w:t xml:space="preserve">1) Displacement &gt; 2mm
</w:t>
      </w:r>
      <w:r>
        <w:rPr>
          <w:rFonts w:ascii="Times New Roman" w:cs="Times New Roman" w:eastAsia="Times New Roman" w:hAnsi="Times New Roman"/>
        </w:rPr>
        <w:t xml:space="preserve">2) Roof arc angle &lt; 45°
</w:t>
      </w:r>
      <w:r>
        <w:rPr>
          <w:rFonts w:ascii="Times New Roman" w:cs="Times New Roman" w:eastAsia="Times New Roman" w:hAnsi="Times New Roman"/>
        </w:rPr>
        <w:t xml:space="preserve">3) CT상 50% 이상의 벽 관여 여부
</w:t>
      </w:r>
      <w:r>
        <w:rPr>
          <w:rFonts w:ascii="Malgun Gothic" w:cs="Malgun Gothic" w:eastAsia="Malgun Gothic" w:hAnsi="Malgun Gothic"/>
        </w:rPr>
        <w:t xml:space="preserve">   → 이 중 하나라도 해당되면 수술 적응증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2026-03-26T14:58:16.593Z</dcterms:created>
  <dcterms:modified xsi:type="dcterms:W3CDTF">2026-03-26T14:58:16.593Z</dcterms:modified>
</cp:coreProperties>
</file>

<file path=docProps/custom.xml><?xml version="1.0" encoding="utf-8"?>
<Properties xmlns="http://schemas.openxmlformats.org/officeDocument/2006/custom-properties" xmlns:vt="http://schemas.openxmlformats.org/officeDocument/2006/docPropsVTypes"/>
</file>