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Malgun Gothic" w:hAnsi="Times New Roman"/>
          <w:b/>
          <w:bCs/>
          <w:color w:val="1F4E79"/>
          <w:sz w:val="32"/>
          <w:szCs w:val="32"/>
        </w:rPr>
        <w:t xml:space="preserve">26단원. 전슬관절치환술의 골결손 처치</w:t>
      </w:r>
    </w:p>
    <w:p>
      <w:pPr>
        <w:spacing w:after="60" w:before="60"/>
      </w:pPr>
    </w:p>
    <w:p>
      <w:pPr>
        <w:pStyle w:val="Heading2"/>
      </w:pPr>
      <w:r>
        <w:rPr>
          <w:rFonts w:ascii="Times New Roman" w:cs="Times New Roman" w:eastAsia="Malgun Gothic" w:hAnsi="Times New Roman"/>
          <w:b/>
          <w:bCs/>
          <w:color w:val="2E75B6"/>
          <w:sz w:val="28"/>
          <w:szCs w:val="28"/>
        </w:rPr>
        <w:t xml:space="preserve">1. 골결손의 원인 및 분류</w:t>
      </w:r>
    </w:p>
    <w:p>
      <w:pPr>
        <w:pStyle w:val="Heading3"/>
      </w:pPr>
      <w:r>
        <w:rPr>
          <w:rFonts w:ascii="Times New Roman" w:cs="Times New Roman" w:eastAsia="Malgun Gothic" w:hAnsi="Times New Roman"/>
          <w:b/>
          <w:bCs/>
          <w:color w:val="1F4E79"/>
          <w:sz w:val="24"/>
          <w:szCs w:val="24"/>
        </w:rPr>
        <w:t xml:space="preserve">골결손의 원인</w:t>
      </w:r>
    </w:p>
    <w:p>
      <w:pPr>
        <w:spacing w:after="40" w:before="40"/>
      </w:pPr>
      <w:r>
        <w:rPr>
          <w:rFonts w:ascii="Times New Roman" w:cs="Times New Roman" w:eastAsia="Malgun Gothic" w:hAnsi="Times New Roman"/>
          <w:sz w:val="20"/>
          <w:szCs w:val="20"/>
        </w:rPr>
        <w:t xml:space="preserve">슬관절 전치환술(TKA) 중 발견되는 골결손의 원인은 다양하다.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관절염에 따른 각변형(arthritic angular deformity)</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퇴행성 병변</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골괴사(osteonecrosis)</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외상(trauma)</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이전 수술: 경골 절골술(HTO), 이전 TKA</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대퇴과 저형성증(condylar hypoplasia)</w:t>
      </w:r>
    </w:p>
    <w:p>
      <w:pPr>
        <w:spacing w:after="60" w:before="60"/>
      </w:pPr>
    </w:p>
    <w:p>
      <w:pPr>
        <w:pStyle w:val="Heading3"/>
      </w:pPr>
      <w:r>
        <w:rPr>
          <w:rFonts w:ascii="Times New Roman" w:cs="Times New Roman" w:eastAsia="Malgun Gothic" w:hAnsi="Times New Roman"/>
          <w:b/>
          <w:bCs/>
          <w:color w:val="1F4E79"/>
          <w:sz w:val="24"/>
          <w:szCs w:val="24"/>
        </w:rPr>
        <w:t xml:space="preserve">골결손의 분류</w:t>
      </w:r>
    </w:p>
    <w:p>
      <w:pPr>
        <w:spacing w:after="40" w:before="40"/>
      </w:pPr>
      <w:r>
        <w:rPr>
          <w:rFonts w:ascii="Times New Roman" w:cs="Times New Roman" w:eastAsia="Malgun Gothic" w:hAnsi="Times New Roman"/>
          <w:sz w:val="20"/>
          <w:szCs w:val="20"/>
        </w:rPr>
        <w:t xml:space="preserve">골결손은 크기와 범위에 따라 두 가지 주요 범주로 분류된다:</w:t>
      </w:r>
    </w:p>
    <w:p>
      <w:pPr>
        <w:spacing w:after="60" w:before="60"/>
      </w:pPr>
    </w:p>
    <w:p>
      <w:pPr>
        <w:spacing w:after="40" w:before="40"/>
      </w:pPr>
      <w:r>
        <w:rPr>
          <w:rFonts w:ascii="Times New Roman" w:cs="Times New Roman" w:eastAsia="Malgun Gothic" w:hAnsi="Times New Roman"/>
          <w:sz w:val="20"/>
          <w:szCs w:val="20"/>
        </w:rPr>
        <w:t xml:space="preserve">1) </w:t>
      </w:r>
      <w:r>
        <w:rPr>
          <w:rFonts w:ascii="Times New Roman" w:cs="Times New Roman" w:eastAsia="Malgun Gothic" w:hAnsi="Times New Roman"/>
          <w:b/>
          <w:bCs/>
          <w:sz w:val="20"/>
          <w:szCs w:val="20"/>
        </w:rPr>
        <w:t xml:space="preserve">골내성(contained) 또는 공동성(cavitary) 결손</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골피질 테두리(cortical rim)가 온전하다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결손 부위가 피질골로 둘러싸여 있다</w:t>
      </w:r>
    </w:p>
    <w:p>
      <w:pPr>
        <w:spacing w:after="60" w:before="60"/>
      </w:pPr>
    </w:p>
    <w:p>
      <w:pPr>
        <w:spacing w:after="40" w:before="40"/>
      </w:pPr>
      <w:r>
        <w:rPr>
          <w:rFonts w:ascii="Times New Roman" w:cs="Times New Roman" w:eastAsia="Malgun Gothic" w:hAnsi="Times New Roman"/>
          <w:sz w:val="20"/>
          <w:szCs w:val="20"/>
        </w:rPr>
        <w:t xml:space="preserve">2) </w:t>
      </w:r>
      <w:r>
        <w:rPr>
          <w:rFonts w:ascii="Times New Roman" w:cs="Times New Roman" w:eastAsia="Malgun Gothic" w:hAnsi="Times New Roman"/>
          <w:b/>
          <w:bCs/>
          <w:sz w:val="20"/>
          <w:szCs w:val="20"/>
        </w:rPr>
        <w:t xml:space="preserve">비골내성(noncontained) 또는 분절성(segmental) 결손</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말초 위치에 있으며 골피질 테두리가 손상되어 있다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더 광범위한 골소실을 의미한다</w:t>
      </w:r>
    </w:p>
    <w:p>
      <w:pPr>
        <w:spacing w:after="60" w:before="60"/>
      </w:pPr>
    </w:p>
    <w:p>
      <w:pPr>
        <w:pStyle w:val="Heading3"/>
      </w:pPr>
      <w:r>
        <w:rPr>
          <w:rFonts w:ascii="Times New Roman" w:cs="Times New Roman" w:eastAsia="Malgun Gothic" w:hAnsi="Times New Roman"/>
          <w:b/>
          <w:bCs/>
          <w:color w:val="1F4E79"/>
          <w:sz w:val="24"/>
          <w:szCs w:val="24"/>
        </w:rPr>
        <w:t xml:space="preserve">AORI(Anderson Orthopaedic Research Institute) 분류</w:t>
      </w:r>
    </w:p>
    <w:p>
      <w:pPr>
        <w:spacing w:after="40" w:before="40"/>
      </w:pPr>
      <w:r>
        <w:rPr>
          <w:rFonts w:ascii="Times New Roman" w:cs="Times New Roman" w:eastAsia="Malgun Gothic" w:hAnsi="Times New Roman"/>
          <w:sz w:val="20"/>
          <w:szCs w:val="20"/>
        </w:rPr>
        <w:t xml:space="preserve">골결손의 중증도는 AORI 분류로 다음과 같이 구분된다:</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BBBBB" w:sz="1"/>
              <w:left w:val="single" w:color="BBBBBB" w:sz="1"/>
              <w:bottom w:val="single" w:color="BBBBBB" w:sz="1"/>
              <w:right w:val="single" w:color="BBBBBB" w:sz="1"/>
            </w:tcBorders>
            <w:shd w:fill="1F4E79"/>
          </w:tcPr>
          <w:p>
            <w:pPr>
              <w:jc w:val="center"/>
            </w:pPr>
            <w:r>
              <w:rPr>
                <w:rFonts w:ascii="Times New Roman" w:cs="Times New Roman" w:eastAsia="Malgun Gothic" w:hAnsi="Times New Roman"/>
                <w:b/>
                <w:bCs/>
                <w:color w:val="FFFFFF"/>
                <w:sz w:val="20"/>
                <w:szCs w:val="20"/>
              </w:rPr>
              <w:t xml:space="preserve">분류</w:t>
            </w:r>
          </w:p>
        </w:tc>
        <w:tc>
          <w:tcPr>
            <w:tcBorders>
              <w:top w:val="single" w:color="BBBBBB" w:sz="1"/>
              <w:left w:val="single" w:color="BBBBBB" w:sz="1"/>
              <w:bottom w:val="single" w:color="BBBBBB" w:sz="1"/>
              <w:right w:val="single" w:color="BBBBBB" w:sz="1"/>
            </w:tcBorders>
            <w:shd w:fill="1F4E79"/>
          </w:tcPr>
          <w:p>
            <w:pPr>
              <w:jc w:val="center"/>
            </w:pPr>
            <w:r>
              <w:rPr>
                <w:rFonts w:ascii="Times New Roman" w:cs="Times New Roman" w:eastAsia="Malgun Gothic" w:hAnsi="Times New Roman"/>
                <w:b/>
                <w:bCs/>
                <w:color w:val="FFFFFF"/>
                <w:sz w:val="20"/>
                <w:szCs w:val="20"/>
              </w:rPr>
              <w:t xml:space="preserve">설명</w:t>
            </w:r>
          </w:p>
        </w:tc>
        <w:tc>
          <w:tcPr>
            <w:tcBorders>
              <w:top w:val="single" w:color="BBBBBB" w:sz="1"/>
              <w:left w:val="single" w:color="BBBBBB" w:sz="1"/>
              <w:bottom w:val="single" w:color="BBBBBB" w:sz="1"/>
              <w:right w:val="single" w:color="BBBBBB" w:sz="1"/>
            </w:tcBorders>
            <w:shd w:fill="1F4E79"/>
          </w:tcPr>
          <w:p>
            <w:pPr>
              <w:jc w:val="center"/>
            </w:pPr>
            <w:r>
              <w:rPr>
                <w:rFonts w:ascii="Times New Roman" w:cs="Times New Roman" w:eastAsia="Malgun Gothic" w:hAnsi="Times New Roman"/>
                <w:b/>
                <w:bCs/>
                <w:color w:val="FFFFFF"/>
                <w:sz w:val="20"/>
                <w:szCs w:val="20"/>
              </w:rPr>
              <w:t xml:space="preserve">치료</w:t>
            </w:r>
          </w:p>
        </w:tc>
      </w:tr>
      <w:tr>
        <w:tc>
          <w:tcPr>
            <w:tcBorders>
              <w:top w:val="single" w:color="BBBBBB" w:sz="1"/>
              <w:left w:val="single" w:color="BBBBBB" w:sz="1"/>
              <w:bottom w:val="single" w:color="BBBBBB" w:sz="1"/>
              <w:right w:val="single" w:color="BBBBBB" w:sz="1"/>
            </w:tcBorders>
          </w:tcPr>
          <w:p>
            <w:r>
              <w:t xml:space="preserve">Type I</w:t>
            </w:r>
          </w:p>
        </w:tc>
        <w:tc>
          <w:tcPr>
            <w:tcBorders>
              <w:top w:val="single" w:color="BBBBBB" w:sz="1"/>
              <w:left w:val="single" w:color="BBBBBB" w:sz="1"/>
              <w:bottom w:val="single" w:color="BBBBBB" w:sz="1"/>
              <w:right w:val="single" w:color="BBBBBB" w:sz="1"/>
            </w:tcBorders>
          </w:tcPr>
          <w:p>
            <w:r>
              <w:t xml:space="preserve">소초점 골내성 결손(focal metaphyseal defect, intact cortical rim)</w:t>
            </w:r>
          </w:p>
        </w:tc>
        <w:tc>
          <w:tcPr>
            <w:tcBorders>
              <w:top w:val="single" w:color="BBBBBB" w:sz="1"/>
              <w:left w:val="single" w:color="BBBBBB" w:sz="1"/>
              <w:bottom w:val="single" w:color="BBBBBB" w:sz="1"/>
              <w:right w:val="single" w:color="BBBBBB" w:sz="1"/>
            </w:tcBorders>
          </w:tcPr>
          <w:p>
            <w:r>
              <w:t xml:space="preserve">시멘트 충전</w:t>
            </w:r>
          </w:p>
        </w:tc>
      </w:tr>
      <w:tr>
        <w:tc>
          <w:tcPr>
            <w:tcBorders>
              <w:top w:val="single" w:color="BBBBBB" w:sz="1"/>
              <w:left w:val="single" w:color="BBBBBB" w:sz="1"/>
              <w:bottom w:val="single" w:color="BBBBBB" w:sz="1"/>
              <w:right w:val="single" w:color="BBBBBB" w:sz="1"/>
            </w:tcBorders>
          </w:tcPr>
          <w:p>
            <w:r>
              <w:t xml:space="preserve">Type II</w:t>
            </w:r>
          </w:p>
        </w:tc>
        <w:tc>
          <w:tcPr>
            <w:tcBorders>
              <w:top w:val="single" w:color="BBBBBB" w:sz="1"/>
              <w:left w:val="single" w:color="BBBBBB" w:sz="1"/>
              <w:bottom w:val="single" w:color="BBBBBB" w:sz="1"/>
              <w:right w:val="single" w:color="BBBBBB" w:sz="1"/>
            </w:tcBorders>
          </w:tcPr>
          <w:p>
            <w:r>
              <w:t xml:space="preserve">광범위 골내성 결손(extensive metaphyseal defect, intact cortical rim)</w:t>
            </w:r>
          </w:p>
        </w:tc>
        <w:tc>
          <w:tcPr>
            <w:tcBorders>
              <w:top w:val="single" w:color="BBBBBB" w:sz="1"/>
              <w:left w:val="single" w:color="BBBBBB" w:sz="1"/>
              <w:bottom w:val="single" w:color="BBBBBB" w:sz="1"/>
              <w:right w:val="single" w:color="BBBBBB" w:sz="1"/>
            </w:tcBorders>
          </w:tcPr>
          <w:p>
            <w:r>
              <w:t xml:space="preserve">시멘트, 보강물, 소량의 골이식</w:t>
            </w:r>
          </w:p>
        </w:tc>
      </w:tr>
      <w:tr>
        <w:tc>
          <w:tcPr>
            <w:tcBorders>
              <w:top w:val="single" w:color="BBBBBB" w:sz="1"/>
              <w:left w:val="single" w:color="BBBBBB" w:sz="1"/>
              <w:bottom w:val="single" w:color="BBBBBB" w:sz="1"/>
              <w:right w:val="single" w:color="BBBBBB" w:sz="1"/>
            </w:tcBorders>
          </w:tcPr>
          <w:p>
            <w:r>
              <w:t xml:space="preserve">Type III</w:t>
            </w:r>
          </w:p>
        </w:tc>
        <w:tc>
          <w:tcPr>
            <w:tcBorders>
              <w:top w:val="single" w:color="BBBBBB" w:sz="1"/>
              <w:left w:val="single" w:color="BBBBBB" w:sz="1"/>
              <w:bottom w:val="single" w:color="BBBBBB" w:sz="1"/>
              <w:right w:val="single" w:color="BBBBBB" w:sz="1"/>
            </w:tcBorders>
          </w:tcPr>
          <w:p>
            <w:r>
              <w:t xml:space="preserve">대규모 골소실(metaphyseal and cortical defect)</w:t>
            </w:r>
          </w:p>
        </w:tc>
        <w:tc>
          <w:tcPr>
            <w:tcBorders>
              <w:top w:val="single" w:color="BBBBBB" w:sz="1"/>
              <w:left w:val="single" w:color="BBBBBB" w:sz="1"/>
              <w:bottom w:val="single" w:color="BBBBBB" w:sz="1"/>
              <w:right w:val="single" w:color="BBBBBB" w:sz="1"/>
            </w:tcBorders>
          </w:tcPr>
          <w:p>
            <w:r>
              <w:t xml:space="preserve">구조적 골이식, 맞춤형 보철, 회전 힌지</w:t>
            </w:r>
          </w:p>
        </w:tc>
      </w:tr>
    </w:tbl>
    <w:p>
      <w:pPr>
        <w:spacing w:after="60" w:before="60"/>
      </w:pPr>
    </w:p>
    <w:p>
      <w:pPr>
        <w:pStyle w:val="Heading2"/>
      </w:pPr>
      <w:r>
        <w:rPr>
          <w:rFonts w:ascii="Times New Roman" w:cs="Times New Roman" w:eastAsia="Malgun Gothic" w:hAnsi="Times New Roman"/>
          <w:b/>
          <w:bCs/>
          <w:color w:val="2E75B6"/>
          <w:sz w:val="28"/>
          <w:szCs w:val="28"/>
        </w:rPr>
        <w:t xml:space="preserve">2. 골결손 크기에 따른 치료 선택</w:t>
      </w:r>
    </w:p>
    <w:p>
      <w:pPr>
        <w:pStyle w:val="Heading3"/>
      </w:pPr>
      <w:r>
        <w:rPr>
          <w:rFonts w:ascii="Times New Roman" w:cs="Times New Roman" w:eastAsia="Malgun Gothic" w:hAnsi="Times New Roman"/>
          <w:b/>
          <w:bCs/>
          <w:color w:val="1F4E79"/>
          <w:sz w:val="24"/>
          <w:szCs w:val="24"/>
        </w:rPr>
        <w:t xml:space="preserve">골내성(Contained) 결손의 치료</w:t>
      </w:r>
    </w:p>
    <w:p>
      <w:pPr>
        <w:spacing w:after="40" w:before="40"/>
      </w:pPr>
      <w:r>
        <w:rPr>
          <w:rFonts w:ascii="Times New Roman" w:cs="Times New Roman" w:eastAsia="Malgun Gothic" w:hAnsi="Times New Roman"/>
          <w:sz w:val="20"/>
          <w:szCs w:val="20"/>
        </w:rPr>
        <w:t xml:space="preserve">골내성 결손은 피질 테두리가 온전하므로 비교적 치료가 간단하다.</w:t>
      </w:r>
    </w:p>
    <w:p>
      <w:pPr>
        <w:spacing w:after="60" w:before="60"/>
      </w:pPr>
    </w:p>
    <w:p>
      <w:pPr>
        <w:spacing w:after="40" w:before="40"/>
      </w:pPr>
      <w:r>
        <w:rPr>
          <w:rFonts w:ascii="Times New Roman" w:cs="Times New Roman" w:eastAsia="Malgun Gothic" w:hAnsi="Times New Roman"/>
          <w:sz w:val="20"/>
          <w:szCs w:val="20"/>
        </w:rPr>
        <w:t>5mm 미만의 소형 결손: 시멘트 충전(cement filling)으로 충분하다.</w:t>
      </w:r>
    </w:p>
    <w:p>
      <w:pPr>
        <w:spacing w:after="60" w:before="60"/>
      </w:pPr>
    </w:p>
    <w:p>
      <w:pPr>
        <w:spacing w:after="40" w:before="40"/>
      </w:pPr>
      <w:r>
        <w:rPr>
          <w:rFonts w:ascii="Times New Roman" w:cs="Times New Roman" w:eastAsia="Malgun Gothic" w:hAnsi="Times New Roman"/>
          <w:sz w:val="20"/>
          <w:szCs w:val="20"/>
        </w:rPr>
        <w:t>5mm 이상의 결손: 해면골 골이식(cancellous bone graft)을 사용한다. 8-12mm 정도이면 시멘트와 나사 보강으로도 가능하며, 추가 골절제와 더 두꺼운 폴리에틸렌(PE)을 사용할 수 있다.</w:t>
      </w:r>
    </w:p>
    <w:p>
      <w:pPr>
        <w:spacing w:after="60" w:before="60"/>
      </w:pPr>
    </w:p>
    <w:p>
      <w:pPr>
        <w:spacing w:after="40" w:before="40"/>
      </w:pPr>
      <w:r>
        <w:rPr>
          <w:rFonts w:ascii="Times New Roman" w:cs="Times New Roman" w:eastAsia="Malgun Gothic" w:hAnsi="Times New Roman"/>
          <w:sz w:val="20"/>
          <w:szCs w:val="20"/>
        </w:rPr>
        <w:t xml:space="preserve">특별한 경우:</w:t>
      </w:r>
    </w:p>
    <w:p>
      <w:pPr>
        <w:pStyle w:val="ListParagraph"/>
        <w:numPr>
          <w:ilvl w:val="0"/>
          <w:numId w:val="2"/>
        </w:numPr>
        <w:spacing w:after="30" w:before="30"/>
        <w:ind w:left="720" w:hanging="360"/>
      </w:pPr>
      <w:r>
        <w:rPr>
          <w:rFonts w:ascii="Times New Roman" w:cs="Times New Roman" w:eastAsia="Malgun Gothic" w:hAnsi="Times New Roman"/>
          <w:sz w:val="20"/>
          <w:szCs w:val="20"/>
        </w:rPr>
        <w:t>13-22mm: 금속 보강물(metal augmentation)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23mm 이상: 동종 골이식(allograft)과 시멘트, 여러 개의 나사 보강</w:t>
      </w:r>
    </w:p>
    <w:p>
      <w:pPr>
        <w:pStyle w:val="ListParagraph"/>
        <w:numPr>
          <w:ilvl w:val="0"/>
          <w:numId w:val="2"/>
        </w:numPr>
        <w:spacing w:after="30" w:before="30"/>
        <w:ind w:left="720" w:hanging="360"/>
      </w:pPr>
      <w:r>
        <w:rPr>
          <w:rFonts w:ascii="Times New Roman" w:cs="Times New Roman" w:eastAsia="Malgun Gothic" w:hAnsi="Times New Roman"/>
          <w:sz w:val="20"/>
          <w:szCs w:val="20"/>
        </w:rPr>
        <w:t>대규모 결손: 소주골 보강(trabecular augmentation) 또는 종양용 보철(tumor prosthesis)</w:t>
      </w:r>
    </w:p>
    <w:p>
      <w:pPr>
        <w:spacing w:after="60" w:before="60"/>
      </w:pPr>
    </w:p>
    <w:p>
      <w:pPr>
        <w:pStyle w:val="Heading3"/>
      </w:pPr>
      <w:r>
        <w:rPr>
          <w:rFonts w:ascii="Times New Roman" w:cs="Times New Roman" w:eastAsia="Malgun Gothic" w:hAnsi="Times New Roman"/>
          <w:b/>
          <w:bCs/>
          <w:color w:val="1F4E79"/>
          <w:sz w:val="24"/>
          <w:szCs w:val="24"/>
        </w:rPr>
        <w:t xml:space="preserve">비골내성(Noncontained) 결손의 치료</w:t>
      </w:r>
    </w:p>
    <w:p>
      <w:pPr>
        <w:spacing w:after="40" w:before="40"/>
      </w:pPr>
      <w:r>
        <w:rPr>
          <w:rFonts w:ascii="Times New Roman" w:cs="Times New Roman" w:eastAsia="Malgun Gothic" w:hAnsi="Times New Roman"/>
          <w:sz w:val="20"/>
          <w:szCs w:val="20"/>
        </w:rPr>
        <w:t xml:space="preserve">비골내성 결손은 피질 테두리가 손상되어 있으므로 더 광범위한 치료가 필요하다.</w:t>
      </w:r>
    </w:p>
    <w:p>
      <w:pPr>
        <w:spacing w:after="60" w:before="60"/>
      </w:pPr>
    </w:p>
    <w:p>
      <w:pPr>
        <w:pStyle w:val="ListParagraph"/>
        <w:numPr>
          <w:ilvl w:val="0"/>
          <w:numId w:val="2"/>
        </w:numPr>
        <w:spacing w:after="30" w:before="30"/>
        <w:ind w:left="720" w:hanging="360"/>
      </w:pPr>
      <w:r>
        <w:rPr>
          <w:rFonts w:ascii="Times New Roman" w:cs="Times New Roman" w:eastAsia="Malgun Gothic" w:hAnsi="Times New Roman"/>
          <w:sz w:val="20"/>
          <w:szCs w:val="20"/>
        </w:rPr>
        <w:t>소형 비골내성 결손: 시멘트 충전 또는 이식</w:t>
      </w:r>
    </w:p>
    <w:p>
      <w:pPr>
        <w:pStyle w:val="ListParagraph"/>
        <w:numPr>
          <w:ilvl w:val="0"/>
          <w:numId w:val="2"/>
        </w:numPr>
        <w:spacing w:after="30" w:before="30"/>
        <w:ind w:left="720" w:hanging="360"/>
      </w:pPr>
      <w:r>
        <w:rPr>
          <w:rFonts w:ascii="Times New Roman" w:cs="Times New Roman" w:eastAsia="Malgun Gothic" w:hAnsi="Times New Roman"/>
          <w:sz w:val="20"/>
          <w:szCs w:val="20"/>
        </w:rPr>
        <w:t>중형 결손: 구조적 골이식(structural bone grafts) 또는 금속 쐐기/블록(metal wedges or blocks)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대형 결손: 구조적 동종골 이식(structural allograft) 또는 맞춤형 임플란트(custom implants)</w:t>
      </w:r>
    </w:p>
    <w:p>
      <w:pPr>
        <w:pStyle w:val="ListParagraph"/>
        <w:numPr>
          <w:ilvl w:val="0"/>
          <w:numId w:val="2"/>
        </w:numPr>
        <w:spacing w:after="30" w:before="30"/>
        <w:ind w:left="720" w:hanging="360"/>
      </w:pPr>
      <w:r>
        <w:rPr>
          <w:rFonts w:ascii="Times New Roman" w:cs="Times New Roman" w:eastAsia="Malgun Gothic" w:hAnsi="Times New Roman"/>
          <w:sz w:val="20"/>
          <w:szCs w:val="20"/>
        </w:rPr>
        <w:t>매우 심한 경우: 금속 블록 보강물, 관절 고정술(arthrodesis), 또는 종양용 보철</w:t>
      </w:r>
    </w:p>
    <w:p>
      <w:pPr>
        <w:spacing w:after="60" w:before="60"/>
      </w:pPr>
    </w:p>
    <w:p>
      <w:pPr>
        <w:pStyle w:val="Heading2"/>
      </w:pPr>
      <w:r>
        <w:rPr>
          <w:rFonts w:ascii="Times New Roman" w:cs="Times New Roman" w:eastAsia="Malgun Gothic" w:hAnsi="Times New Roman"/>
          <w:b/>
          <w:bCs/>
          <w:color w:val="2E75B6"/>
          <w:sz w:val="28"/>
          <w:szCs w:val="28"/>
        </w:rPr>
        <w:t xml:space="preserve">3. 치료 방법의 상세 설명</w:t>
      </w:r>
    </w:p>
    <w:p>
      <w:pPr>
        <w:pStyle w:val="Heading3"/>
      </w:pPr>
      <w:r>
        <w:rPr>
          <w:rFonts w:ascii="Times New Roman" w:cs="Times New Roman" w:eastAsia="Malgun Gothic" w:hAnsi="Times New Roman"/>
          <w:b/>
          <w:bCs/>
          <w:color w:val="1F4E79"/>
          <w:sz w:val="24"/>
          <w:szCs w:val="24"/>
        </w:rPr>
        <w:t xml:space="preserve">시멘트 충전(Cement Filling)</w:t>
      </w:r>
    </w:p>
    <w:p>
      <w:pPr>
        <w:spacing w:after="40" w:before="40"/>
      </w:pPr>
      <w:r>
        <w:rPr>
          <w:rFonts w:ascii="Times New Roman" w:cs="Times New Roman" w:eastAsia="Malgun Gothic" w:hAnsi="Times New Roman"/>
          <w:sz w:val="20"/>
          <w:szCs w:val="20"/>
        </w:rPr>
        <w:t xml:space="preserve">가장 간단한 방법으로, 5mm 미만의 소형 골내성 결손에 주로 사용된다. 손실된 공간을 직접 시멘트로 채워 성분의 지지력을 확보한다.</w:t>
      </w:r>
    </w:p>
    <w:p>
      <w:pPr>
        <w:spacing w:after="60" w:before="60"/>
      </w:pPr>
    </w:p>
    <w:p>
      <w:pPr>
        <w:pStyle w:val="Heading3"/>
      </w:pPr>
      <w:r>
        <w:rPr>
          <w:rFonts w:ascii="Times New Roman" w:cs="Times New Roman" w:eastAsia="Malgun Gothic" w:hAnsi="Times New Roman"/>
          <w:b/>
          <w:bCs/>
          <w:color w:val="1F4E79"/>
          <w:sz w:val="24"/>
          <w:szCs w:val="24"/>
        </w:rPr>
        <w:t xml:space="preserve">해면골 골이식(Cancellous Bone Graft)</w:t>
      </w:r>
    </w:p>
    <w:p>
      <w:pPr>
        <w:spacing w:after="40" w:before="40"/>
      </w:pPr>
      <w:r>
        <w:rPr>
          <w:rFonts w:ascii="Times New Roman" w:cs="Times New Roman" w:eastAsia="Malgun Gothic" w:hAnsi="Times New Roman"/>
          <w:sz w:val="20"/>
          <w:szCs w:val="20"/>
        </w:rPr>
        <w:t xml:space="preserve">5mm 이상 12mm 미만의 중간 크기 골내성 결손에 적합하다. 자가 골, 동종골, 또는 골대체재(bone substitute)를 사용할 수 있으며, 시멘트와 함께 사용하여 결손 부위의 기계적 강도를 높인다.</w:t>
      </w:r>
    </w:p>
    <w:p>
      <w:pPr>
        <w:spacing w:after="60" w:before="60"/>
      </w:pPr>
    </w:p>
    <w:p>
      <w:pPr>
        <w:pStyle w:val="Heading3"/>
      </w:pPr>
      <w:r>
        <w:rPr>
          <w:rFonts w:ascii="Times New Roman" w:cs="Times New Roman" w:eastAsia="Malgun Gothic" w:hAnsi="Times New Roman"/>
          <w:b/>
          <w:bCs/>
          <w:color w:val="1F4E79"/>
          <w:sz w:val="24"/>
          <w:szCs w:val="24"/>
        </w:rPr>
        <w:t xml:space="preserve">금속 보강물(Metal Augmentation)</w:t>
      </w:r>
    </w:p>
    <w:p>
      <w:pPr>
        <w:spacing w:after="40" w:before="40"/>
      </w:pPr>
      <w:r>
        <w:rPr>
          <w:rFonts w:ascii="Times New Roman" w:cs="Times New Roman" w:eastAsia="Malgun Gothic" w:hAnsi="Times New Roman"/>
          <w:sz w:val="20"/>
          <w:szCs w:val="20"/>
        </w:rPr>
        <w:t xml:space="preserve">13mm 이상의 결손에서 사용되며, 티타늄으로 만든 쐐기 형태의 보강물을 성분에 부착하여 결손을 보충한다. 이는 안정성과 내구성이 우수하며, 특히 비골내성 결손에서 효과적이다.</w:t>
      </w:r>
    </w:p>
    <w:p>
      <w:pPr>
        <w:spacing w:after="60" w:before="60"/>
      </w:pPr>
    </w:p>
    <w:p>
      <w:pPr>
        <w:pStyle w:val="Heading3"/>
      </w:pPr>
      <w:r>
        <w:rPr>
          <w:rFonts w:ascii="Times New Roman" w:cs="Times New Roman" w:eastAsia="Malgun Gothic" w:hAnsi="Times New Roman"/>
          <w:b/>
          <w:bCs/>
          <w:color w:val="1F4E79"/>
          <w:sz w:val="24"/>
          <w:szCs w:val="24"/>
        </w:rPr>
        <w:t xml:space="preserve">구조적 동종골 이식(Structural Allograft)</w:t>
      </w:r>
    </w:p>
    <w:p>
      <w:pPr>
        <w:spacing w:after="40" w:before="40"/>
      </w:pPr>
      <w:r>
        <w:rPr>
          <w:rFonts w:ascii="Times New Roman" w:cs="Times New Roman" w:eastAsia="Malgun Gothic" w:hAnsi="Times New Roman"/>
          <w:sz w:val="20"/>
          <w:szCs w:val="20"/>
        </w:rPr>
        <w:t xml:space="preserve">대규모 골결손, 특히 대퇴과 전체의 손실이 있는 경우에 사용된다. 동종골의 구조를 유지하면서 손실된 뼈를 복원하지만, 치유 기간이 길고 거부반응의 가능성이 있다.</w:t>
      </w:r>
    </w:p>
    <w:p>
      <w:pPr>
        <w:spacing w:after="60" w:before="60"/>
      </w:pPr>
    </w:p>
    <w:p>
      <w:pPr>
        <w:pStyle w:val="Heading3"/>
      </w:pPr>
      <w:r>
        <w:rPr>
          <w:rFonts w:ascii="Times New Roman" w:cs="Times New Roman" w:eastAsia="Malgun Gothic" w:hAnsi="Times New Roman"/>
          <w:b/>
          <w:bCs/>
          <w:color w:val="1F4E79"/>
          <w:sz w:val="24"/>
          <w:szCs w:val="24"/>
        </w:rPr>
        <w:t xml:space="preserve">회전 힌지 보철(Rotating Hinge Prosthesis)</w:t>
      </w:r>
    </w:p>
    <w:p>
      <w:pPr>
        <w:spacing w:after="40" w:before="40"/>
      </w:pPr>
      <w:r>
        <w:rPr>
          <w:rFonts w:ascii="Times New Roman" w:cs="Times New Roman" w:eastAsia="Malgun Gothic" w:hAnsi="Times New Roman"/>
          <w:sz w:val="20"/>
          <w:szCs w:val="20"/>
        </w:rPr>
        <w:t xml:space="preserve">매우 심한 골결손이나 측부인대의 손상이 동반되는 경우에 사용되는 제한된 설계의 보철로, 높은 안정성을 제공한다.</w:t>
      </w:r>
    </w:p>
    <w:p>
      <w:pPr>
        <w:spacing w:after="60" w:before="60"/>
      </w:pPr>
    </w:p>
    <w:p>
      <w:pPr>
        <w:pStyle w:val="Heading2"/>
      </w:pPr>
      <w:r>
        <w:rPr>
          <w:rFonts w:ascii="Times New Roman" w:cs="Times New Roman" w:eastAsia="Malgun Gothic" w:hAnsi="Times New Roman"/>
          <w:b/>
          <w:bCs/>
          <w:color w:val="2E75B6"/>
          <w:sz w:val="28"/>
          <w:szCs w:val="28"/>
        </w:rPr>
        <w:t xml:space="preserve">4. 인공관절 수정(Revision) 시의 골결손 처치</w:t>
      </w:r>
    </w:p>
    <w:p>
      <w:pPr>
        <w:spacing w:after="40" w:before="40"/>
      </w:pPr>
      <w:r>
        <w:rPr>
          <w:rFonts w:ascii="Times New Roman" w:cs="Times New Roman" w:eastAsia="Malgun Gothic" w:hAnsi="Times New Roman"/>
          <w:sz w:val="20"/>
          <w:szCs w:val="20"/>
        </w:rPr>
        <w:t xml:space="preserve">이차 TKA(revision TKA)에서 발견되는 대규모 골소실의 경우, AORI 분류에 따라 다음과 같이 치료한다:</w:t>
      </w:r>
    </w:p>
    <w:p>
      <w:pPr>
        <w:spacing w:after="60" w:before="60"/>
      </w:pPr>
    </w:p>
    <w:p>
      <w:pPr>
        <w:pStyle w:val="ListParagraph"/>
        <w:numPr>
          <w:ilvl w:val="0"/>
          <w:numId w:val="2"/>
        </w:numPr>
        <w:spacing w:after="30" w:before="30"/>
        <w:ind w:left="720" w:hanging="360"/>
      </w:pPr>
      <w:r>
        <w:rPr>
          <w:rFonts w:ascii="Times New Roman" w:cs="Times New Roman" w:eastAsia="Malgun Gothic" w:hAnsi="Times New Roman"/>
          <w:sz w:val="20"/>
          <w:szCs w:val="20"/>
        </w:rPr>
        <w:t>1형 결손: 시멘트 충전이나 압박 이식(impaction allograft)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2형 결손: 시멘트, 보강물, 소량의 골이식을 병합하여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3형 결손: 소주 구조체(trabecular systems), 다단계 스템, 회전 힌지, 또는 매우 심한 경우 관절 고정술(arthrodesis)</w:t>
      </w:r>
    </w:p>
    <w:p>
      <w:pPr>
        <w:spacing w:after="60" w:before="60"/>
      </w:pPr>
    </w:p>
    <w:p>
      <w:pPr>
        <w:pStyle w:val="Heading2"/>
      </w:pPr>
      <w:r>
        <w:rPr>
          <w:rFonts w:ascii="Times New Roman" w:cs="Times New Roman" w:eastAsia="Malgun Gothic" w:hAnsi="Times New Roman"/>
          <w:b/>
          <w:bCs/>
          <w:color w:val="2E75B6"/>
          <w:sz w:val="28"/>
          <w:szCs w:val="28"/>
        </w:rPr>
        <w:t xml:space="preserve">5. 수술 중 의사결정</w:t>
      </w:r>
    </w:p>
    <w:p>
      <w:pPr>
        <w:spacing w:after="40" w:before="40"/>
      </w:pPr>
      <w:r>
        <w:rPr>
          <w:rFonts w:ascii="Times New Roman" w:cs="Times New Roman" w:eastAsia="Malgun Gothic" w:hAnsi="Times New Roman"/>
          <w:sz w:val="20"/>
          <w:szCs w:val="20"/>
        </w:rPr>
        <w:t xml:space="preserve">골결손의 크기와 위치를 정확히 평가한 후, 결손의 경계, 대규모 골소실의 유무, 피질 테두리의 완전성 등을 고려하여 치료 방법을 결정한다. 특히 방사선 촬영과 CT 검사를 통해 골소실의 정도를 미리 파악하고, 수술 중에 다양한 보강 선택지를 준비해야 한다.</w:t>
      </w:r>
    </w:p>
    <w:p>
      <w:pPr>
        <w:spacing w:after="60" w:before="60"/>
      </w:pPr>
    </w:p>
    <w:p>
      <w:pPr>
        <w:pStyle w:val="Heading2"/>
      </w:pPr>
      <w:r>
        <w:rPr>
          <w:rFonts w:ascii="Times New Roman" w:cs="Times New Roman" w:eastAsia="Malgun Gothic" w:hAnsi="Times New Roman"/>
          <w:b/>
          <w:bCs/>
          <w:color w:val="2E75B6"/>
          <w:sz w:val="28"/>
          <w:szCs w:val="28"/>
        </w:rPr>
        <w:t xml:space="preserve">6. 연습문제</w:t>
      </w:r>
    </w:p>
    <w:p>
      <w:pPr>
        <w:spacing w:after="60" w:before="60"/>
      </w:pPr>
    </w:p>
    <w:p>
      <w:pPr>
        <w:spacing w:after="60" w:before="120"/>
      </w:pPr>
      <w:r>
        <w:rPr>
          <w:rFonts w:ascii="Times New Roman" w:cs="Times New Roman" w:eastAsia="Malgun Gothic" w:hAnsi="Times New Roman"/>
          <w:b/>
          <w:bCs/>
          <w:sz w:val="20"/>
          <w:szCs w:val="20"/>
        </w:rPr>
        <w:t xml:space="preserve">문제 1. 골내성(contained) 결손과 비골내성(noncontained) 결손의 가장 중요한 감별 기준은?</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① 결손의 크기</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② 결손의 위치</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③ 골피질 테두리(cortical rim)의 온전성</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④ 환자의 나이</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⑤ 수술 시간</w:t>
      </w:r>
    </w:p>
    <w:p>
      <w:pPr>
        <w:spacing w:after="30" w:before="60"/>
      </w:pPr>
      <w:r>
        <w:rPr>
          <w:rFonts w:ascii="Times New Roman" w:cs="Times New Roman" w:eastAsia="Malgun Gothic" w:hAnsi="Times New Roman"/>
          <w:b/>
          <w:bCs/>
          <w:color w:val="2E75B6"/>
          <w:sz w:val="20"/>
          <w:szCs w:val="20"/>
        </w:rPr>
        <w:t xml:space="preserve">정답: ③</w:t>
      </w:r>
    </w:p>
    <w:p>
      <w:pPr>
        <w:spacing w:after="60" w:before="0"/>
      </w:pPr>
      <w:r>
        <w:rPr>
          <w:rFonts w:ascii="Times New Roman" w:cs="Times New Roman" w:eastAsia="Malgun Gothic" w:hAnsi="Times New Roman"/>
          <w:sz w:val="20"/>
          <w:szCs w:val="20"/>
        </w:rPr>
        <w:t xml:space="preserve">해설: 골내성 결손은 골피질 테두리가 온전하여 결손 부위가 피질골로 둘러싸여 있지만, 비골내성 결손은 피질 테두리가 손상되어 더 광범위하다.</w:t>
      </w:r>
    </w:p>
    <w:p>
      <w:pPr>
        <w:spacing w:after="60" w:before="60"/>
      </w:pPr>
    </w:p>
    <w:p>
      <w:pPr>
        <w:spacing w:after="60" w:before="120"/>
      </w:pPr>
      <w:r>
        <w:rPr>
          <w:rFonts w:ascii="Times New Roman" w:cs="Times New Roman" w:eastAsia="Malgun Gothic" w:hAnsi="Times New Roman"/>
          <w:b/>
          <w:bCs/>
          <w:sz w:val="20"/>
          <w:szCs w:val="20"/>
        </w:rPr>
        <w:t xml:space="preserve">문제 2. 5mm 미만의 소형 골내성 결손의 표준 치료는?</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① 구조적 골이식</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② 금속 보강물</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③ 시멘트 충전</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④ 해면골 골이식</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⑤ 성분 우측(downsizing)</w:t>
      </w:r>
    </w:p>
    <w:p>
      <w:pPr>
        <w:spacing w:after="30" w:before="60"/>
      </w:pPr>
      <w:r>
        <w:rPr>
          <w:rFonts w:ascii="Times New Roman" w:cs="Times New Roman" w:eastAsia="Malgun Gothic" w:hAnsi="Times New Roman"/>
          <w:b/>
          <w:bCs/>
          <w:color w:val="2E75B6"/>
          <w:sz w:val="20"/>
          <w:szCs w:val="20"/>
        </w:rPr>
        <w:t xml:space="preserve">정답: ③</w:t>
      </w:r>
    </w:p>
    <w:p>
      <w:pPr>
        <w:spacing w:after="60" w:before="0"/>
      </w:pPr>
      <w:r>
        <w:rPr>
          <w:rFonts w:ascii="Times New Roman" w:cs="Times New Roman" w:eastAsia="Malgun Gothic" w:hAnsi="Times New Roman"/>
          <w:sz w:val="20"/>
          <w:szCs w:val="20"/>
        </w:rPr>
        <w:t xml:space="preserve">해설: 5mm 미만의 소형 골내성 결손은 시멘트 충전으로 충분하다.</w:t>
      </w:r>
    </w:p>
    <w:p>
      <w:pPr>
        <w:spacing w:after="60" w:before="60"/>
      </w:pPr>
    </w:p>
    <w:p>
      <w:pPr>
        <w:spacing w:after="60" w:before="120"/>
      </w:pPr>
      <w:r>
        <w:rPr>
          <w:rFonts w:ascii="Times New Roman" w:cs="Times New Roman" w:eastAsia="Malgun Gothic" w:hAnsi="Times New Roman"/>
          <w:b/>
          <w:bCs/>
          <w:sz w:val="20"/>
          <w:szCs w:val="20"/>
        </w:rPr>
        <w:t xml:space="preserve">문제 3. 5mm 이상 12mm 미만의 중간 크기 골내성 결손의 치료로 가장 적절한 것은?</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① 시멘트 충전만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② 구조적 골이식만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③ 해면골 골이식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④ 금속 보강물만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⑤ 관절 고정술</w:t>
      </w:r>
    </w:p>
    <w:p>
      <w:pPr>
        <w:spacing w:after="30" w:before="60"/>
      </w:pPr>
      <w:r>
        <w:rPr>
          <w:rFonts w:ascii="Times New Roman" w:cs="Times New Roman" w:eastAsia="Malgun Gothic" w:hAnsi="Times New Roman"/>
          <w:b/>
          <w:bCs/>
          <w:color w:val="2E75B6"/>
          <w:sz w:val="20"/>
          <w:szCs w:val="20"/>
        </w:rPr>
        <w:t xml:space="preserve">정답: ③</w:t>
      </w:r>
    </w:p>
    <w:p>
      <w:pPr>
        <w:spacing w:after="60" w:before="0"/>
      </w:pPr>
      <w:r>
        <w:rPr>
          <w:rFonts w:ascii="Times New Roman" w:cs="Times New Roman" w:eastAsia="Malgun Gothic" w:hAnsi="Times New Roman"/>
          <w:sz w:val="20"/>
          <w:szCs w:val="20"/>
        </w:rPr>
        <w:t xml:space="preserve">해설: 5mm 이상 12mm 미만의 골내성 결손은 해면골 골이식이 적절하며, 필요시 시멘트와 함께 사용한다.</w:t>
      </w:r>
    </w:p>
    <w:p>
      <w:pPr>
        <w:spacing w:after="60" w:before="60"/>
      </w:pPr>
    </w:p>
    <w:p>
      <w:pPr>
        <w:spacing w:after="60" w:before="120"/>
      </w:pPr>
      <w:r>
        <w:rPr>
          <w:rFonts w:ascii="Times New Roman" w:cs="Times New Roman" w:eastAsia="Malgun Gothic" w:hAnsi="Times New Roman"/>
          <w:b/>
          <w:bCs/>
          <w:sz w:val="20"/>
          <w:szCs w:val="20"/>
        </w:rPr>
        <w:t xml:space="preserve">문제 4. AORI Type II 결손에 해당하는 것은?</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① 소초점 골내성 결손</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② 광범위 골내성 결손(골피질 테두리 온전)</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③ 골피질 결손이 포함된 대규모 결손</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④ 경골 전체의 손실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⑤ 대퇴과 전체의 손실</w:t>
      </w:r>
    </w:p>
    <w:p>
      <w:pPr>
        <w:spacing w:after="30" w:before="60"/>
      </w:pPr>
      <w:r>
        <w:rPr>
          <w:rFonts w:ascii="Times New Roman" w:cs="Times New Roman" w:eastAsia="Malgun Gothic" w:hAnsi="Times New Roman"/>
          <w:b/>
          <w:bCs/>
          <w:color w:val="2E75B6"/>
          <w:sz w:val="20"/>
          <w:szCs w:val="20"/>
        </w:rPr>
        <w:t xml:space="preserve">정답: ②</w:t>
      </w:r>
    </w:p>
    <w:p>
      <w:pPr>
        <w:spacing w:after="60" w:before="0"/>
      </w:pPr>
      <w:r>
        <w:rPr>
          <w:rFonts w:ascii="Times New Roman" w:cs="Times New Roman" w:eastAsia="Malgun Gothic" w:hAnsi="Times New Roman"/>
          <w:sz w:val="20"/>
          <w:szCs w:val="20"/>
        </w:rPr>
        <w:t xml:space="preserve">해설: AORI Type II는 광범위한 골내 결손이지만 골피질 테두리가 온전하며, 시멘트, 보강물, 소량의 골이식으로 치료한다.</w:t>
      </w:r>
    </w:p>
    <w:p>
      <w:pPr>
        <w:spacing w:after="60" w:before="60"/>
      </w:pPr>
    </w:p>
    <w:p>
      <w:pPr>
        <w:spacing w:after="60" w:before="120"/>
      </w:pPr>
      <w:r>
        <w:rPr>
          <w:rFonts w:ascii="Times New Roman" w:cs="Times New Roman" w:eastAsia="Malgun Gothic" w:hAnsi="Times New Roman"/>
          <w:b/>
          <w:bCs/>
          <w:sz w:val="20"/>
          <w:szCs w:val="20"/>
        </w:rPr>
        <w:t xml:space="preserve">문제 5. 13mm 이상의 골결손에서 가장 흔히 사용되는 치료는?</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① 시멘트 충전</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② 해면골 골이식</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③ 금속 보강물(metal augmentation)</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④ 관절 고정술</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⑤ 추가 골절제</w:t>
      </w:r>
    </w:p>
    <w:p>
      <w:pPr>
        <w:spacing w:after="30" w:before="60"/>
      </w:pPr>
      <w:r>
        <w:rPr>
          <w:rFonts w:ascii="Times New Roman" w:cs="Times New Roman" w:eastAsia="Malgun Gothic" w:hAnsi="Times New Roman"/>
          <w:b/>
          <w:bCs/>
          <w:color w:val="2E75B6"/>
          <w:sz w:val="20"/>
          <w:szCs w:val="20"/>
        </w:rPr>
        <w:t xml:space="preserve">정답: ③</w:t>
      </w:r>
    </w:p>
    <w:p>
      <w:pPr>
        <w:spacing w:after="60" w:before="0"/>
      </w:pPr>
      <w:r>
        <w:rPr>
          <w:rFonts w:ascii="Times New Roman" w:cs="Times New Roman" w:eastAsia="Malgun Gothic" w:hAnsi="Times New Roman"/>
          <w:sz w:val="20"/>
          <w:szCs w:val="20"/>
        </w:rPr>
        <w:t xml:space="preserve">해설: 13mm 이상의 결손은 금속 보강물(쐐기 또는 블록)을 성분에 부착하여 치료하는 것이 표준이다.</w:t>
      </w:r>
    </w:p>
    <w:p>
      <w:pPr>
        <w:spacing w:after="60" w:before="60"/>
      </w:pPr>
    </w:p>
    <w:p>
      <w:pPr>
        <w:spacing w:after="60" w:before="120"/>
      </w:pPr>
      <w:r>
        <w:rPr>
          <w:rFonts w:ascii="Times New Roman" w:cs="Times New Roman" w:eastAsia="Malgun Gothic" w:hAnsi="Times New Roman"/>
          <w:b/>
          <w:bCs/>
          <w:sz w:val="20"/>
          <w:szCs w:val="20"/>
        </w:rPr>
        <w:t xml:space="preserve">문제 6. 구조적 동종골 이식(structural allograft)을 사용하는 주된 이유는?</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① 수술 시간이 짧다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② 비용이 저렴하다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③ 대규모 골결손에서 뼈의 구조를 복원할 수 있다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④ 감염 위험이 없다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⑤ 항상 완벽한 치유를 보장한다</w:t>
      </w:r>
    </w:p>
    <w:p>
      <w:pPr>
        <w:spacing w:after="30" w:before="60"/>
      </w:pPr>
      <w:r>
        <w:rPr>
          <w:rFonts w:ascii="Times New Roman" w:cs="Times New Roman" w:eastAsia="Malgun Gothic" w:hAnsi="Times New Roman"/>
          <w:b/>
          <w:bCs/>
          <w:color w:val="2E75B6"/>
          <w:sz w:val="20"/>
          <w:szCs w:val="20"/>
        </w:rPr>
        <w:t xml:space="preserve">정답: ③</w:t>
      </w:r>
    </w:p>
    <w:p>
      <w:pPr>
        <w:spacing w:after="60" w:before="0"/>
      </w:pPr>
      <w:r>
        <w:rPr>
          <w:rFonts w:ascii="Times New Roman" w:cs="Times New Roman" w:eastAsia="Malgun Gothic" w:hAnsi="Times New Roman"/>
          <w:sz w:val="20"/>
          <w:szCs w:val="20"/>
        </w:rPr>
        <w:t xml:space="preserve">해설: 구조적 동종골 이식은 대규모 골결손에서 손실된 뼈의 구조를 복원할 수 있으며, 특히 대퇴과 전체 손실이나 비골내성 대규모 결손에 적합하다.</w:t>
      </w:r>
    </w:p>
    <w:p>
      <w:pPr>
        <w:spacing w:after="60" w:before="60"/>
      </w:pPr>
    </w:p>
    <w:p>
      <w:pPr>
        <w:spacing w:after="60" w:before="120"/>
      </w:pPr>
      <w:r>
        <w:rPr>
          <w:rFonts w:ascii="Times New Roman" w:cs="Times New Roman" w:eastAsia="Malgun Gothic" w:hAnsi="Times New Roman"/>
          <w:b/>
          <w:bCs/>
          <w:sz w:val="20"/>
          <w:szCs w:val="20"/>
        </w:rPr>
        <w:t xml:space="preserve">문제 7. AORI Type III 결손의 특징 및 치료 방법으로 올바른 것은?</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① 골피질 테두리가 온전하며 시멘트로 충전</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② 메타피지스와 피질부 결손이 포함된 대규모 결손</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③ 소형 결손으로 간단한 치료</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④ 중간 크기 결손으로 해면골만 사용</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⑤ 항상 간단한 성분 교체로 충분</w:t>
      </w:r>
    </w:p>
    <w:p>
      <w:pPr>
        <w:spacing w:after="30" w:before="60"/>
      </w:pPr>
      <w:r>
        <w:rPr>
          <w:rFonts w:ascii="Times New Roman" w:cs="Times New Roman" w:eastAsia="Malgun Gothic" w:hAnsi="Times New Roman"/>
          <w:b/>
          <w:bCs/>
          <w:color w:val="2E75B6"/>
          <w:sz w:val="20"/>
          <w:szCs w:val="20"/>
        </w:rPr>
        <w:t xml:space="preserve">정답: ②</w:t>
      </w:r>
    </w:p>
    <w:p>
      <w:pPr>
        <w:spacing w:after="60" w:before="0"/>
      </w:pPr>
      <w:r>
        <w:rPr>
          <w:rFonts w:ascii="Times New Roman" w:cs="Times New Roman" w:eastAsia="Malgun Gothic" w:hAnsi="Times New Roman"/>
          <w:sz w:val="20"/>
          <w:szCs w:val="20"/>
        </w:rPr>
        <w:t xml:space="preserve">해설: AORI Type III는 메타피지스와 골피질부 결손이 포함된 대규모 결손으로, 구조적 골이식, 맞춤형 보철, 회전 힌지, 또는 관절 고정술 등이 필요하다.</w:t>
      </w:r>
    </w:p>
    <w:p>
      <w:pPr>
        <w:spacing w:after="60" w:before="60"/>
      </w:pPr>
    </w:p>
    <w:p>
      <w:pPr>
        <w:spacing w:after="60" w:before="120"/>
      </w:pPr>
      <w:r>
        <w:rPr>
          <w:rFonts w:ascii="Times New Roman" w:cs="Times New Roman" w:eastAsia="Malgun Gothic" w:hAnsi="Times New Roman"/>
          <w:b/>
          <w:bCs/>
          <w:sz w:val="20"/>
          <w:szCs w:val="20"/>
        </w:rPr>
        <w:t xml:space="preserve">문제 8. 이차 슬관절치환술(revision TKA)에서 대규모 골소실이 발견될 때의 다단계 접근법은?</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① 항상 성분 교체만 시행</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② AORI 분류에 따라 치료 방법을 결정</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③ 항상 관절 고정술 시행</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④ 환자의 나이만 고려</w:t>
      </w:r>
    </w:p>
    <w:p>
      <w:pPr>
        <w:pStyle w:val="ListParagraph"/>
        <w:numPr>
          <w:ilvl w:val="0"/>
          <w:numId w:val="2"/>
        </w:numPr>
        <w:spacing w:after="30" w:before="30"/>
        <w:ind w:left="720" w:hanging="360"/>
      </w:pPr>
      <w:r>
        <w:rPr>
          <w:rFonts w:ascii="Times New Roman" w:cs="Times New Roman" w:eastAsia="Malgun Gothic" w:hAnsi="Times New Roman"/>
          <w:sz w:val="20"/>
          <w:szCs w:val="20"/>
        </w:rPr>
        <w:t xml:space="preserve">⑤ 가장 큰 성분으로 우측</w:t>
      </w:r>
    </w:p>
    <w:p>
      <w:pPr>
        <w:spacing w:after="30" w:before="60"/>
      </w:pPr>
      <w:r>
        <w:rPr>
          <w:rFonts w:ascii="Times New Roman" w:cs="Times New Roman" w:eastAsia="Malgun Gothic" w:hAnsi="Times New Roman"/>
          <w:b/>
          <w:bCs/>
          <w:color w:val="2E75B6"/>
          <w:sz w:val="20"/>
          <w:szCs w:val="20"/>
        </w:rPr>
        <w:t xml:space="preserve">정답: ②</w:t>
      </w:r>
    </w:p>
    <w:p>
      <w:pPr>
        <w:spacing w:after="60" w:before="0"/>
      </w:pPr>
      <w:r>
        <w:rPr>
          <w:rFonts w:ascii="Times New Roman" w:cs="Times New Roman" w:eastAsia="Malgun Gothic" w:hAnsi="Times New Roman"/>
          <w:sz w:val="20"/>
          <w:szCs w:val="20"/>
        </w:rPr>
        <w:t xml:space="preserve">해설: revision TKA에서 골소실의 정도는 AORI 분류에 따라 평가되며, 1형은 시멘트/이식, 2형은 보강물과 이식의 병합, 3형은 소주 구조체나 회전 힌지 등으로 치료한다.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72세 남성, TKA 계획. 수술 전 평가에서 우측 경골 내측 고평부에 8mm 깊이의 골결손(grade 2). 외측은 정상. 최적 재건 방법은?</w:t>
      </w:r>
    </w:p>
    <w:p>
      <w:pPr>
        <w:spacing w:after="20" w:before="20"/>
        <w:ind w:left="400"/>
      </w:pPr>
      <w:r>
        <w:rPr>
          <w:rFonts w:ascii="Times New Roman" w:cs="Times New Roman" w:eastAsia="맑은 고딕" w:hAnsi="Times New Roman"/>
          <w:sz w:val="22"/>
          <w:szCs w:val="22"/>
        </w:rPr>
        <w:t xml:space="preserve">①  Metal shim만 사용</w:t>
      </w:r>
    </w:p>
    <w:p>
      <w:pPr>
        <w:spacing w:after="20" w:before="20"/>
        <w:ind w:left="400"/>
      </w:pPr>
      <w:r>
        <w:rPr>
          <w:rFonts w:ascii="Times New Roman" w:cs="Times New Roman" w:eastAsia="맑은 고딕" w:hAnsi="Times New Roman"/>
          <w:sz w:val="22"/>
          <w:szCs w:val="22"/>
        </w:rPr>
        <w:t xml:space="preserve">②  Modular metal augment (내측 경골)</w:t>
      </w:r>
    </w:p>
    <w:p>
      <w:pPr>
        <w:spacing w:after="20" w:before="20"/>
        <w:ind w:left="400"/>
      </w:pPr>
      <w:r>
        <w:rPr>
          <w:rFonts w:ascii="Times New Roman" w:cs="Times New Roman" w:eastAsia="맑은 고딕" w:hAnsi="Times New Roman"/>
          <w:sz w:val="22"/>
          <w:szCs w:val="22"/>
        </w:rPr>
        <w:t xml:space="preserve">③  Structural autograft</w:t>
      </w:r>
    </w:p>
    <w:p>
      <w:pPr>
        <w:spacing w:after="20" w:before="20"/>
        <w:ind w:left="400"/>
      </w:pPr>
      <w:r>
        <w:rPr>
          <w:rFonts w:ascii="Times New Roman" w:cs="Times New Roman" w:eastAsia="맑은 고딕" w:hAnsi="Times New Roman"/>
          <w:sz w:val="22"/>
          <w:szCs w:val="22"/>
        </w:rPr>
        <w:t xml:space="preserve">④  Allograft</w:t>
      </w:r>
    </w:p>
    <w:p>
      <w:pPr>
        <w:spacing w:after="20" w:before="20"/>
        <w:ind w:left="400"/>
      </w:pPr>
      <w:r>
        <w:rPr>
          <w:rFonts w:ascii="Times New Roman" w:cs="Times New Roman" w:eastAsia="맑은 고딕" w:hAnsi="Times New Roman"/>
          <w:sz w:val="22"/>
          <w:szCs w:val="22"/>
        </w:rPr>
        <w:t xml:space="preserve">⑤  골결손 무시하고 표준 구성요소 사용</w:t>
      </w:r>
    </w:p>
    <w:p>
      <w:pPr>
        <w:spacing w:after="40" w:before="80"/>
      </w:pPr>
      <w:r>
        <w:rPr>
          <w:rFonts w:ascii="Times New Roman" w:cs="Times New Roman" w:eastAsia="맑은 고딕" w:hAnsi="Times New Roman"/>
          <w:b/>
          <w:bCs/>
          <w:sz w:val="22"/>
          <w:szCs w:val="22"/>
        </w:rPr>
        <w:t xml:space="preserve">▶ 정답: ②  Modular metal augment (내측 경골)</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8mm 깊이의 grade 2 골결손은 metal shim만으로는 충분하지 않습니다. Modular metal augment는 고정 높이와 두께로 정확한 보정이 가능하여 재질(reinforcement)이 필요한 grade 2 결손의 표준 치료입니다. Structural autograft는 골다공증이 있을 수 있는 72세 환자에서 강도 문제가 있고, 채취 부위 이환(morbidity) 증가합니다. Allograft는 구조적 강도는 유사하지만 감염 위험과 비용이 문제입니다. Metal augment는 즉시 안정성, 예측 가능한 성능, 장기 생존성이 우수합니다.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65세 여성, 우측 대퇴 외측 고평부 12mm 깊이 결손(grade 3). 좌측 TKA는 우수한 임상결과(추적 7년). 우측 수술 계획은?</w:t>
      </w:r>
    </w:p>
    <w:p>
      <w:pPr>
        <w:spacing w:after="20" w:before="20"/>
        <w:ind w:left="400"/>
      </w:pPr>
      <w:r>
        <w:rPr>
          <w:rFonts w:ascii="Times New Roman" w:cs="Times New Roman" w:eastAsia="맑은 고딕" w:hAnsi="Times New Roman"/>
          <w:sz w:val="22"/>
          <w:szCs w:val="22"/>
        </w:rPr>
        <w:t xml:space="preserve">①  Metal augment (standard modular)</w:t>
      </w:r>
    </w:p>
    <w:p>
      <w:pPr>
        <w:spacing w:after="20" w:before="20"/>
        <w:ind w:left="400"/>
      </w:pPr>
      <w:r>
        <w:rPr>
          <w:rFonts w:ascii="Times New Roman" w:cs="Times New Roman" w:eastAsia="맑은 고딕" w:hAnsi="Times New Roman"/>
          <w:sz w:val="22"/>
          <w:szCs w:val="22"/>
        </w:rPr>
        <w:t xml:space="preserve">②  좌측 대퇴에서 structural allograft 채취</w:t>
      </w:r>
    </w:p>
    <w:p>
      <w:pPr>
        <w:spacing w:after="20" w:before="20"/>
        <w:ind w:left="400"/>
      </w:pPr>
      <w:r>
        <w:rPr>
          <w:rFonts w:ascii="Times New Roman" w:cs="Times New Roman" w:eastAsia="맑은 고딕" w:hAnsi="Times New Roman"/>
          <w:sz w:val="22"/>
          <w:szCs w:val="22"/>
        </w:rPr>
        <w:t xml:space="preserve">③  Jumbo implant로 defect margin override</w:t>
      </w:r>
    </w:p>
    <w:p>
      <w:pPr>
        <w:spacing w:after="20" w:before="20"/>
        <w:ind w:left="400"/>
      </w:pPr>
      <w:r>
        <w:rPr>
          <w:rFonts w:ascii="Times New Roman" w:cs="Times New Roman" w:eastAsia="맑은 고딕" w:hAnsi="Times New Roman"/>
          <w:sz w:val="22"/>
          <w:szCs w:val="22"/>
        </w:rPr>
        <w:t xml:space="preserve">④  Custom-fitted implant 또는 structural allograft + metal augment 병용</w:t>
      </w:r>
    </w:p>
    <w:p>
      <w:pPr>
        <w:spacing w:after="20" w:before="20"/>
        <w:ind w:left="400"/>
      </w:pPr>
      <w:r>
        <w:rPr>
          <w:rFonts w:ascii="Times New Roman" w:cs="Times New Roman" w:eastAsia="맑은 고딕" w:hAnsi="Times New Roman"/>
          <w:sz w:val="22"/>
          <w:szCs w:val="22"/>
        </w:rPr>
        <w:t xml:space="preserve">⑤  TKA 연기, 보존적 치료 계속</w:t>
      </w:r>
    </w:p>
    <w:p>
      <w:pPr>
        <w:spacing w:after="40" w:before="80"/>
      </w:pPr>
      <w:r>
        <w:rPr>
          <w:rFonts w:ascii="Times New Roman" w:cs="Times New Roman" w:eastAsia="맑은 고딕" w:hAnsi="Times New Roman"/>
          <w:b/>
          <w:bCs/>
          <w:sz w:val="22"/>
          <w:szCs w:val="22"/>
        </w:rPr>
        <w:t xml:space="preserve">▶ 정답: ④  Custom-fitted implant 또는 structural allograft + metal augment 병용</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12mm 깊이의 grade 3 대퇴 외측 결손은 심각합니다. 일반적인 modular metal augment만으로는 부족할 수 있습니다. 이런 대규모 결손에는 두 가지 접근이 가능합니다: (1) Custom-fitted implant로 결손 부위를 완전히 커버하거나 (2) Structural allograft로 대부분을 재건하고 남은 작은 부분만 metal augment로 보충합니다. Jumbo implant는 남은 골이 충분할 때만 사용 가능합니다. 좌측 자신의 뼈를 채취하는 것은 donor-site morbidity 때문에 지양합니다. 좌측 우수한 결과는 우측 수술의 타당성을 강화합니다.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58세 남성, 양측 TKA 계획. 우측 대퇴 내측 10mm 결손, 경골 내외측 각각 5mm 결손(mixed defects). 수술 시간 단축이 중요. 최적 전략은?</w:t>
      </w:r>
    </w:p>
    <w:p>
      <w:pPr>
        <w:spacing w:after="20" w:before="20"/>
        <w:ind w:left="400"/>
      </w:pPr>
      <w:r>
        <w:rPr>
          <w:rFonts w:ascii="Times New Roman" w:cs="Times New Roman" w:eastAsia="맑은 고딕" w:hAnsi="Times New Roman"/>
          <w:sz w:val="22"/>
          <w:szCs w:val="22"/>
        </w:rPr>
        <w:t xml:space="preserve">①  Each augment를 각각 준비, 시간 소모</w:t>
      </w:r>
    </w:p>
    <w:p>
      <w:pPr>
        <w:spacing w:after="20" w:before="20"/>
        <w:ind w:left="400"/>
      </w:pPr>
      <w:r>
        <w:rPr>
          <w:rFonts w:ascii="Times New Roman" w:cs="Times New Roman" w:eastAsia="맑은 고딕" w:hAnsi="Times New Roman"/>
          <w:sz w:val="22"/>
          <w:szCs w:val="22"/>
        </w:rPr>
        <w:t xml:space="preserve">②  합성 augment 또는 trabecular metal로 여러 크기 결손 동시 해결</w:t>
      </w:r>
    </w:p>
    <w:p>
      <w:pPr>
        <w:spacing w:after="20" w:before="20"/>
        <w:ind w:left="400"/>
      </w:pPr>
      <w:r>
        <w:rPr>
          <w:rFonts w:ascii="Times New Roman" w:cs="Times New Roman" w:eastAsia="맑은 고딕" w:hAnsi="Times New Roman"/>
          <w:sz w:val="22"/>
          <w:szCs w:val="22"/>
        </w:rPr>
        <w:t xml:space="preserve">③  Structural bone graft 모두 사용</w:t>
      </w:r>
    </w:p>
    <w:p>
      <w:pPr>
        <w:spacing w:after="20" w:before="20"/>
        <w:ind w:left="400"/>
      </w:pPr>
      <w:r>
        <w:rPr>
          <w:rFonts w:ascii="Times New Roman" w:cs="Times New Roman" w:eastAsia="맑은 고딕" w:hAnsi="Times New Roman"/>
          <w:sz w:val="22"/>
          <w:szCs w:val="22"/>
        </w:rPr>
        <w:t xml:space="preserve">④  Jumbo component로 모든 결손 override</w:t>
      </w:r>
    </w:p>
    <w:p>
      <w:pPr>
        <w:spacing w:after="20" w:before="20"/>
        <w:ind w:left="400"/>
      </w:pPr>
      <w:r>
        <w:rPr>
          <w:rFonts w:ascii="Times New Roman" w:cs="Times New Roman" w:eastAsia="맑은 고딕" w:hAnsi="Times New Roman"/>
          <w:sz w:val="22"/>
          <w:szCs w:val="22"/>
        </w:rPr>
        <w:t xml:space="preserve">⑤  Hybrid approach (첫 수술 우측 완벽 재건, 이후 좌측)</w:t>
      </w:r>
    </w:p>
    <w:p>
      <w:pPr>
        <w:spacing w:after="40" w:before="80"/>
      </w:pPr>
      <w:r>
        <w:rPr>
          <w:rFonts w:ascii="Times New Roman" w:cs="Times New Roman" w:eastAsia="맑은 고딕" w:hAnsi="Times New Roman"/>
          <w:b/>
          <w:bCs/>
          <w:sz w:val="22"/>
          <w:szCs w:val="22"/>
        </w:rPr>
        <w:t xml:space="preserve">▶ 정답: ②  합성 augment 또는 trabecular metal로 여러 크기 결손 동시 해결</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다양한 위치의 혼합 골결손(mixed defects)에서는 융통성 있는 재건 재료가 유용합니다. Trabecular metal은 모듈화되어 있으면서 다양한 크기와 형태에 적응할 수 있어, 여러 결손을 효율적으로 처리합니다. 합성 augment도 빠르게 적용할 수 있습니다. 각각의 modular augment를 준비하는 것은 수술 시간을 늘립니다. Structural graft는 모두 사용하기에 이 정도 크기에는 과도합니다. Jumbo는 multiple defects에서 적용 불가능할 가능성이 높습니다. Hybrid는 효율성을 해칩니다. 시간 효율과 결과를 모두 고려하면 통합적 augment 시스템이 최선입니다.</w:t>
      </w:r>
    </w:p>
    <w:p>
      <w:pPr>
        <w:spacing w:after="60" w:before="200"/>
      </w:pPr>
    </w:p>
    <w:p>
      <w:pPr>
        <w:spacing w:after="80" w:before="120"/>
      </w:pPr>
      <w:r>
        <w:rPr>
          <w:rFonts w:ascii="Times New Roman" w:cs="Times New Roman" w:eastAsia="맑은 고딕" w:hAnsi="Times New Roman"/>
          <w:b/>
          <w:bCs/>
          <w:sz w:val="22"/>
          <w:szCs w:val="22"/>
        </w:rPr>
        <w:t xml:space="preserve">문제 9. (변형)  </w:t>
      </w:r>
      <w:r>
        <w:rPr>
          <w:rFonts w:ascii="Times New Roman" w:cs="Times New Roman" w:eastAsia="맑은 고딕" w:hAnsi="Times New Roman"/>
          <w:sz w:val="22"/>
          <w:szCs w:val="22"/>
        </w:rPr>
        <w:t xml:space="preserve">71세 여성, 이전 TKA 실패(10년 전). Aseptic loosening으로 revision TKA 필요. 대퀴 원위부에 광범위 골손실(deficiency grade 4, &gt;15mm), 경골도 중등도 손실. 재건 전략은?</w:t>
      </w:r>
    </w:p>
    <w:p>
      <w:pPr>
        <w:spacing w:after="20" w:before="20"/>
        <w:ind w:left="400"/>
      </w:pPr>
      <w:r>
        <w:rPr>
          <w:rFonts w:ascii="Times New Roman" w:cs="Times New Roman" w:eastAsia="맑은 고딕" w:hAnsi="Times New Roman"/>
          <w:sz w:val="22"/>
          <w:szCs w:val="22"/>
        </w:rPr>
        <w:t xml:space="preserve">①  Metaphyseal cones + structural allograft</w:t>
      </w:r>
    </w:p>
    <w:p>
      <w:pPr>
        <w:spacing w:after="20" w:before="20"/>
        <w:ind w:left="400"/>
      </w:pPr>
      <w:r>
        <w:rPr>
          <w:rFonts w:ascii="Times New Roman" w:cs="Times New Roman" w:eastAsia="맑은 고딕" w:hAnsi="Times New Roman"/>
          <w:sz w:val="22"/>
          <w:szCs w:val="22"/>
        </w:rPr>
        <w:t xml:space="preserve">②  Modular augment만 사용</w:t>
      </w:r>
    </w:p>
    <w:p>
      <w:pPr>
        <w:spacing w:after="20" w:before="20"/>
        <w:ind w:left="400"/>
      </w:pPr>
      <w:r>
        <w:rPr>
          <w:rFonts w:ascii="Times New Roman" w:cs="Times New Roman" w:eastAsia="맑은 고딕" w:hAnsi="Times New Roman"/>
          <w:sz w:val="22"/>
          <w:szCs w:val="22"/>
        </w:rPr>
        <w:t xml:space="preserve">③  Constrained implant로 보상</w:t>
      </w:r>
    </w:p>
    <w:p>
      <w:pPr>
        <w:spacing w:after="20" w:before="20"/>
        <w:ind w:left="400"/>
      </w:pPr>
      <w:r>
        <w:rPr>
          <w:rFonts w:ascii="Times New Roman" w:cs="Times New Roman" w:eastAsia="맑은 고딕" w:hAnsi="Times New Roman"/>
          <w:sz w:val="22"/>
          <w:szCs w:val="22"/>
        </w:rPr>
        <w:t xml:space="preserve">④  Rotating hinge implant + 광범위 structural graft</w:t>
      </w:r>
    </w:p>
    <w:p>
      <w:pPr>
        <w:spacing w:after="20" w:before="20"/>
        <w:ind w:left="400"/>
      </w:pPr>
      <w:r>
        <w:rPr>
          <w:rFonts w:ascii="Times New Roman" w:cs="Times New Roman" w:eastAsia="맑은 고딕" w:hAnsi="Times New Roman"/>
          <w:sz w:val="22"/>
          <w:szCs w:val="22"/>
        </w:rPr>
        <w:t xml:space="preserve">⑤  Custom tumor implant 고려</w:t>
      </w:r>
    </w:p>
    <w:p>
      <w:pPr>
        <w:spacing w:after="40" w:before="80"/>
      </w:pPr>
      <w:r>
        <w:rPr>
          <w:rFonts w:ascii="Times New Roman" w:cs="Times New Roman" w:eastAsia="맑은 고딕" w:hAnsi="Times New Roman"/>
          <w:b/>
          <w:bCs/>
          <w:sz w:val="22"/>
          <w:szCs w:val="22"/>
        </w:rPr>
        <w:t xml:space="preserve">▶ 정답: ①  Metaphyseal cones + structural allograft</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Revision TKA에서 광범위 골손실(grade 4)은 매우 도전적입니다. 이 경우 metaphyseal cones (또는 cone-shaped augments)는 metaphyseal zone을 재건하는 효과적인 방법입니다. Cones는 우수한 초기 고정과 뼈 통합을 제공합니다. 추가로 structural allograft를 원위 대퇴부에 사용하면 더 큰 deficiency를 처리할 수 있습니다. Modular augment만으로는 이 정도 광범위 손실에 충분하지 않습니다. CCK나 hinged는 안정성만 제공하고 골 손실을 재건하지 않습니다. Custom tumor implant는 불필요한 비용 증가입니다. Metaphyseal cones + allograft 조합이 현재 표준입니다.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2026-03-17T08:50:39.286Z</dcterms:created>
  <dcterms:modified xsi:type="dcterms:W3CDTF">2026-03-17T08:50:39.286Z</dcterms:modified>
</cp:coreProperties>
</file>

<file path=docProps/custom.xml><?xml version="1.0" encoding="utf-8"?>
<Properties xmlns="http://schemas.openxmlformats.org/officeDocument/2006/custom-properties" xmlns:vt="http://schemas.openxmlformats.org/officeDocument/2006/docPropsVTypes"/>
</file>