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888888"/>
          <w:sz w:val="18"/>
          <w:szCs w:val="18"/>
        </w:rPr>
        <w:t xml:space="preserve">제18단원</w:t>
      </w:r>
    </w:p>
    <w:p>
      <w:pPr>
        <w:spacing w:after="3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당뇨발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 (DM Foot)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당뇨병성 신경병증 3가지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감각신경병증: 큰 신경 섬유 침범 → 보호 감각 상실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소신경병증: 작은 신경 섬유 → 통증 증가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운동신경병증: 발 변형 및 궤양 발생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Wagner 분류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Grade 0: 피부 위험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Grade 1: 표재성 궤양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Grade 2: 깊은 궤양(건 노출)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Grade 3: 깊은 궤양(골수염)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Grade 4, 5: 괴저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혈관 평가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ABI (ankle-brachial index)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정상: 0.9-1.2, &lt;0.5: 치유 불가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TcpO2 (toe pressure)</w:t>
      </w:r>
    </w:p>
    <w:p>
      <w:pPr>
        <w:spacing w:after="6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&gt;70: 정상, &gt;40: 치유 가능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치료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Total contact cast, Vacuum assisted closure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수술: 감염 제거, 변형 교정, 절단</w:t>
      </w:r>
    </w:p>
    <w:p>
      <w:pPr>
        <w:spacing w:after="200"/>
      </w:pP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당뇨 환자의 발가락 압력(TcpO2)과 치유의 관계를 설명하시오</w:t>
      </w:r>
    </w:p>
    <w:p>
      <w:pPr>
        <w:shd w:fill="E3F2FD" w:val="clear"/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565C0"/>
          <w:sz w:val="22"/>
          <w:szCs w:val="22"/>
        </w:rPr>
        <w:t xml:space="preserve">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TcpO2 &gt;70 mmHg: 정상, &gt;40 mmHg: 치유 가능, &lt;40 mmHg: 치유 제한적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Wagner Grade II 궤양의 특징은?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표재성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건 노출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골수염</w:t>
      </w:r>
    </w:p>
    <w:p>
      <w:pPr>
        <w:spacing w:after="4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괴저</w:t>
      </w:r>
    </w:p>
    <w:p>
      <w:pPr>
        <w:shd w:fill="E8F5E9" w:val="clear"/>
        <w:spacing w:after="4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D32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2E7D32"/>
          <w:sz w:val="22"/>
          <w:szCs w:val="22"/>
        </w:rPr>
        <w:t xml:space="preserve">나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0"/>
          <w:szCs w:val="20"/>
        </w:rPr>
        <w:t xml:space="preserve">Grade II는 깊은 궤양으로 건 노출을 동반함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2026-03-27T08:37:33.713Z</dcterms:created>
  <dcterms:modified xsi:type="dcterms:W3CDTF">2026-03-27T08:37:33.713Z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