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A7A18" w:rsidP="00217C94" w:rsidRDefault="00FA7A18" w14:paraId="771ED23A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796EAD" w:rsidTr="2ECE39BB" w14:paraId="37AACDA5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7473EC6F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2ECE39BB" w:rsidRDefault="00796EAD" w14:paraId="1E4257C9" w14:textId="5DA85982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2ECE39BB" w:rsidR="3A02F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PA"/>
              </w:rPr>
              <w:t>Sistema de gestión de reserva de alquileres de pisos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722E7E6D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651CB850" w:rsidRDefault="00796EAD" w14:paraId="7CB51594" w14:textId="788947F3">
            <w:pPr>
              <w:pStyle w:val="Normal"/>
              <w:spacing w:after="0"/>
            </w:pPr>
            <w:r w:rsidRPr="651CB850" w:rsidR="5DAF74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1114F6" w:rsidRDefault="00796EAD" w14:paraId="4A09C3E1" w14:textId="23C7216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E474E7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651CB850" w:rsidRDefault="00796EAD" w14:paraId="73AC64FA" w14:textId="1E9BC7CF">
            <w:pPr>
              <w:spacing w:after="0"/>
              <w:rPr>
                <w:sz w:val="20"/>
                <w:szCs w:val="20"/>
                <w:lang w:val="es-PA"/>
              </w:rPr>
            </w:pPr>
            <w:r w:rsidRPr="651CB850" w:rsidR="3F7BC515">
              <w:rPr>
                <w:sz w:val="20"/>
                <w:szCs w:val="20"/>
                <w:lang w:val="es-PA"/>
              </w:rPr>
              <w:t>02/10/24</w:t>
            </w:r>
          </w:p>
        </w:tc>
      </w:tr>
    </w:tbl>
    <w:p w:rsidR="00BD4FA7" w:rsidP="00217C94" w:rsidRDefault="00BD4FA7" w14:paraId="2EA0127A" w14:textId="77777777">
      <w:pPr>
        <w:spacing w:after="0"/>
        <w:rPr>
          <w:b/>
          <w:sz w:val="20"/>
          <w:lang w:val="es-PA"/>
        </w:rPr>
      </w:pPr>
    </w:p>
    <w:p w:rsidRPr="009B57BF" w:rsidR="00E474E7" w:rsidP="00E474E7" w:rsidRDefault="00E474E7" w14:paraId="60547317" w14:textId="77777777">
      <w:pPr>
        <w:shd w:val="clear" w:color="auto" w:fill="D9D9D9" w:themeFill="background1" w:themeFillShade="D9"/>
        <w:spacing w:after="0"/>
        <w:jc w:val="both"/>
        <w:rPr>
          <w:b/>
        </w:rPr>
      </w:pPr>
      <w:proofErr w:type="spellStart"/>
      <w:r>
        <w:rPr>
          <w:b/>
        </w:rPr>
        <w:t>HISTÓRICO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MODIFICACIONES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DOCUMENTO</w:t>
      </w:r>
      <w:proofErr w:type="spellEnd"/>
    </w:p>
    <w:tbl>
      <w:tblPr>
        <w:tblW w:w="5000" w:type="pct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Pr="001447F9" w:rsidR="00E474E7" w:rsidTr="09AC5D30" w14:paraId="57A9F489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E474E7" w:rsidP="00B6677A" w:rsidRDefault="00E474E7" w14:paraId="22D02255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E474E7" w:rsidP="00B6677A" w:rsidRDefault="00E474E7" w14:paraId="25C1DCB7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E474E7" w:rsidP="00B6677A" w:rsidRDefault="00E474E7" w14:paraId="193D170C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Pr="001447F9" w:rsidR="00E474E7" w:rsidTr="09AC5D30" w14:paraId="404CA0F9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E474E7" w:rsidP="09AC5D30" w:rsidRDefault="00E474E7" w14:paraId="2E17090F" w14:textId="6FE45CD4">
            <w:pPr>
              <w:spacing w:after="0"/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</w:pPr>
            <w:r w:rsidRPr="09AC5D30" w:rsidR="07D96582"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E474E7" w:rsidP="09AC5D30" w:rsidRDefault="00E474E7" w14:paraId="5DAF1AD2" w14:textId="497C47AF">
            <w:pPr>
              <w:widowControl w:val="0"/>
              <w:spacing w:after="0" w:afterAutospacing="off" w:line="20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09AC5D30" w:rsidR="07D96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Rubén Romero, Alejandro Nicolalde, Ramón Vergara, José Manuel Miret, Pablo Rodríguez</w:t>
            </w:r>
          </w:p>
          <w:p w:rsidRPr="00BA0A81" w:rsidR="00E474E7" w:rsidP="651CB850" w:rsidRDefault="00E474E7" w14:paraId="44C33D65" w14:textId="36B473F6">
            <w:pPr>
              <w:widowControl w:val="0"/>
              <w:spacing w:after="0" w:line="200" w:lineRule="atLeast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E474E7" w:rsidP="09AC5D30" w:rsidRDefault="00E474E7" w14:paraId="11172755" w14:textId="083877C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9AC5D30" w:rsidR="237556EF">
              <w:rPr>
                <w:rFonts w:eastAsia="SimSun" w:cs="Calibri" w:cstheme="minorAscii"/>
                <w:color w:val="auto"/>
                <w:sz w:val="20"/>
                <w:szCs w:val="20"/>
                <w:lang w:val="en-CA" w:eastAsia="zh-CN"/>
              </w:rPr>
              <w:t>Establecer</w:t>
            </w:r>
            <w:r w:rsidRPr="09AC5D30" w:rsidR="237556EF">
              <w:rPr>
                <w:rFonts w:eastAsia="SimSun" w:cs="Calibri" w:cstheme="minorAscii"/>
                <w:color w:val="auto"/>
                <w:sz w:val="20"/>
                <w:szCs w:val="20"/>
                <w:lang w:val="en-CA" w:eastAsia="zh-CN"/>
              </w:rPr>
              <w:t xml:space="preserve"> las bases del </w:t>
            </w:r>
            <w:r w:rsidRPr="09AC5D30" w:rsidR="237556EF">
              <w:rPr>
                <w:rFonts w:eastAsia="SimSun" w:cs="Calibri" w:cstheme="minorAscii"/>
                <w:color w:val="auto"/>
                <w:sz w:val="20"/>
                <w:szCs w:val="20"/>
                <w:lang w:val="en-CA" w:eastAsia="zh-CN"/>
              </w:rPr>
              <w:t>registro</w:t>
            </w:r>
            <w:r w:rsidRPr="09AC5D30" w:rsidR="237556EF">
              <w:rPr>
                <w:rFonts w:eastAsia="SimSun" w:cs="Calibri" w:cstheme="minorAscii"/>
                <w:color w:val="auto"/>
                <w:sz w:val="20"/>
                <w:szCs w:val="20"/>
                <w:lang w:val="en-CA" w:eastAsia="zh-CN"/>
              </w:rPr>
              <w:t xml:space="preserve"> de supuestos.</w:t>
            </w:r>
          </w:p>
        </w:tc>
      </w:tr>
      <w:tr w:rsidRPr="001447F9" w:rsidR="00E474E7" w:rsidTr="09AC5D30" w14:paraId="035FD9AB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E474E7" w:rsidP="09AC5D30" w:rsidRDefault="00E474E7" w14:paraId="56C85A08" w14:textId="214CE852">
            <w:pPr>
              <w:spacing w:after="0"/>
              <w:rPr>
                <w:rFonts w:eastAsia="PMingLiU" w:cs="Calibri" w:cstheme="minorAscii"/>
                <w:color w:val="000000" w:themeColor="text1"/>
                <w:sz w:val="20"/>
                <w:szCs w:val="20"/>
                <w:lang w:val="es-ES"/>
              </w:rPr>
            </w:pPr>
            <w:r w:rsidRPr="09AC5D30" w:rsidR="237556E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s-ES"/>
              </w:rPr>
              <w:t>02/10/2024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E474E7" w:rsidP="09AC5D30" w:rsidRDefault="00E474E7" w14:paraId="5F32BC1F" w14:textId="589F1F65">
            <w:pPr>
              <w:spacing w:after="0"/>
              <w:rPr>
                <w:rFonts w:eastAsia="PMingLiU" w:cs="Calibri" w:cstheme="minorAscii"/>
                <w:color w:val="000000" w:themeColor="text1"/>
                <w:sz w:val="20"/>
                <w:szCs w:val="20"/>
                <w:lang w:val="es-ES"/>
              </w:rPr>
            </w:pPr>
            <w:r w:rsidRPr="09AC5D30" w:rsidR="237556E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s-ES"/>
              </w:rPr>
              <w:t>Rubén Romero Sánchez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E474E7" w:rsidP="09AC5D30" w:rsidRDefault="00E474E7" w14:paraId="3867DB96" w14:textId="19DEA416">
            <w:pPr>
              <w:spacing w:after="0"/>
              <w:rPr>
                <w:rFonts w:eastAsia="PMingLiU" w:cs="Calibri" w:cstheme="minorAscii"/>
                <w:color w:val="000000" w:themeColor="text1"/>
                <w:sz w:val="20"/>
                <w:szCs w:val="20"/>
                <w:lang w:val="en-CA"/>
              </w:rPr>
            </w:pPr>
            <w:r w:rsidRPr="09AC5D30" w:rsidR="237556E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n-CA"/>
              </w:rPr>
              <w:t xml:space="preserve">Crear la </w:t>
            </w:r>
            <w:r w:rsidRPr="09AC5D30" w:rsidR="237556E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n-CA"/>
              </w:rPr>
              <w:t>primera</w:t>
            </w:r>
            <w:r w:rsidRPr="09AC5D30" w:rsidR="237556E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n-CA"/>
              </w:rPr>
              <w:t xml:space="preserve"> </w:t>
            </w:r>
            <w:r w:rsidRPr="09AC5D30" w:rsidR="237556E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n-CA"/>
              </w:rPr>
              <w:t>versión</w:t>
            </w:r>
            <w:r w:rsidRPr="09AC5D30" w:rsidR="237556E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n-CA"/>
              </w:rPr>
              <w:t>.</w:t>
            </w:r>
          </w:p>
        </w:tc>
      </w:tr>
    </w:tbl>
    <w:p w:rsidR="00E474E7" w:rsidP="00E474E7" w:rsidRDefault="00E474E7" w14:paraId="0F2E363D" w14:textId="77777777">
      <w:pPr>
        <w:spacing w:after="0"/>
      </w:pPr>
    </w:p>
    <w:p w:rsidRPr="00263DA7" w:rsidR="000C58ED" w:rsidP="000C58ED" w:rsidRDefault="000C58ED" w14:paraId="681A5C48" w14:textId="0B14AE27">
      <w:pPr>
        <w:shd w:val="clear" w:color="auto" w:fill="D9D9D9" w:themeFill="background1" w:themeFillShade="D9"/>
        <w:spacing w:after="0"/>
        <w:rPr>
          <w:b/>
        </w:rPr>
      </w:pPr>
      <w:proofErr w:type="spellStart"/>
      <w:r>
        <w:rPr>
          <w:b/>
        </w:rPr>
        <w:t>SUPUESTOS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2"/>
        <w:gridCol w:w="4629"/>
        <w:gridCol w:w="1560"/>
        <w:gridCol w:w="1559"/>
        <w:gridCol w:w="1417"/>
        <w:gridCol w:w="4820"/>
      </w:tblGrid>
      <w:tr w:rsidR="002A49F5" w:rsidTr="09AC5D30" w14:paraId="49B40677" w14:textId="77777777">
        <w:tc>
          <w:tcPr>
            <w:tcW w:w="582" w:type="dxa"/>
            <w:shd w:val="clear" w:color="auto" w:fill="D9D9D9" w:themeFill="background1" w:themeFillShade="D9"/>
            <w:tcMar/>
          </w:tcPr>
          <w:p w:rsidR="002A49F5" w:rsidP="001114F6" w:rsidRDefault="002A49F5" w14:paraId="4DF19C80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4629" w:type="dxa"/>
            <w:shd w:val="clear" w:color="auto" w:fill="D9D9D9" w:themeFill="background1" w:themeFillShade="D9"/>
            <w:tcMar/>
          </w:tcPr>
          <w:p w:rsidR="002A49F5" w:rsidP="001114F6" w:rsidRDefault="002A49F5" w14:paraId="490DAD98" w14:textId="42B16361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SUPUESTO/RESTRICCIÓN</w:t>
            </w:r>
          </w:p>
        </w:tc>
        <w:tc>
          <w:tcPr>
            <w:tcW w:w="1560" w:type="dxa"/>
            <w:shd w:val="clear" w:color="auto" w:fill="D9D9D9" w:themeFill="background1" w:themeFillShade="D9"/>
            <w:tcMar/>
          </w:tcPr>
          <w:p w:rsidR="002A49F5" w:rsidP="001114F6" w:rsidRDefault="002A49F5" w14:paraId="2CC98AEB" w14:textId="438428E0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="002A49F5" w:rsidP="001114F6" w:rsidRDefault="002A49F5" w14:paraId="4AE32606" w14:textId="0C5EA78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VENCIMIENTO</w:t>
            </w:r>
          </w:p>
        </w:tc>
        <w:tc>
          <w:tcPr>
            <w:tcW w:w="1417" w:type="dxa"/>
            <w:shd w:val="clear" w:color="auto" w:fill="D9D9D9" w:themeFill="background1" w:themeFillShade="D9"/>
            <w:tcMar/>
          </w:tcPr>
          <w:p w:rsidR="002A49F5" w:rsidP="001114F6" w:rsidRDefault="002A49F5" w14:paraId="0736870E" w14:textId="66713CA0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4820" w:type="dxa"/>
            <w:shd w:val="clear" w:color="auto" w:fill="D9D9D9" w:themeFill="background1" w:themeFillShade="D9"/>
            <w:tcMar/>
          </w:tcPr>
          <w:p w:rsidR="002A49F5" w:rsidP="001114F6" w:rsidRDefault="002A49F5" w14:paraId="3097C6D7" w14:textId="0D81E634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2A49F5" w:rsidTr="09AC5D30" w14:paraId="11927B34" w14:textId="77777777">
        <w:tc>
          <w:tcPr>
            <w:tcW w:w="582" w:type="dxa"/>
            <w:tcMar/>
          </w:tcPr>
          <w:p w:rsidR="002A49F5" w:rsidP="00D51CAC" w:rsidRDefault="002A49F5" w14:paraId="1A68CD56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4629" w:type="dxa"/>
            <w:tcMar/>
          </w:tcPr>
          <w:p w:rsidR="002A49F5" w:rsidP="651CB850" w:rsidRDefault="002A49F5" w14:paraId="419A285F" w14:textId="48DF22D9">
            <w:pPr>
              <w:pStyle w:val="Normal"/>
              <w:spacing w:before="120" w:after="120"/>
            </w:pPr>
            <w:r w:rsidRPr="651CB850" w:rsidR="07854DC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La ocupación media para la temporada alta será del 85%</w:t>
            </w:r>
          </w:p>
        </w:tc>
        <w:tc>
          <w:tcPr>
            <w:tcW w:w="1560" w:type="dxa"/>
            <w:tcMar/>
          </w:tcPr>
          <w:p w:rsidR="002A49F5" w:rsidP="651CB850" w:rsidRDefault="002A49F5" w14:paraId="520B8CF7" w14:textId="476CAA63">
            <w:pPr>
              <w:pStyle w:val="Normal"/>
              <w:spacing w:before="120" w:after="120"/>
            </w:pPr>
            <w:r w:rsidRPr="651CB850" w:rsidR="6465F62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Rubén Romero</w:t>
            </w:r>
          </w:p>
        </w:tc>
        <w:tc>
          <w:tcPr>
            <w:tcW w:w="1559" w:type="dxa"/>
            <w:tcMar/>
          </w:tcPr>
          <w:p w:rsidR="002A49F5" w:rsidP="651CB850" w:rsidRDefault="002A49F5" w14:paraId="202BD25F" w14:textId="688CA45B">
            <w:pPr>
              <w:pStyle w:val="Normal"/>
              <w:spacing w:before="120" w:after="120"/>
            </w:pPr>
            <w:r w:rsidRPr="651CB850" w:rsidR="2011A3B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30/12/2024</w:t>
            </w:r>
          </w:p>
        </w:tc>
        <w:tc>
          <w:tcPr>
            <w:tcW w:w="1417" w:type="dxa"/>
            <w:tcMar/>
          </w:tcPr>
          <w:p w:rsidR="002A49F5" w:rsidP="651CB850" w:rsidRDefault="002A49F5" w14:paraId="4C325CE7" w14:textId="5D5DDD37">
            <w:pPr>
              <w:pStyle w:val="Normal"/>
              <w:spacing w:before="120" w:after="120"/>
            </w:pPr>
            <w:r w:rsidRPr="651CB850" w:rsidR="2CCD72E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Activo</w:t>
            </w:r>
          </w:p>
        </w:tc>
        <w:tc>
          <w:tcPr>
            <w:tcW w:w="4820" w:type="dxa"/>
            <w:tcMar/>
          </w:tcPr>
          <w:p w:rsidR="002A49F5" w:rsidP="651CB850" w:rsidRDefault="002A49F5" w14:paraId="38E70408" w14:textId="1EF2F66F">
            <w:pPr>
              <w:pStyle w:val="Normal"/>
              <w:spacing w:before="120" w:after="120"/>
            </w:pPr>
            <w:r w:rsidRPr="651CB850" w:rsidR="3455181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Basado en los datos de reservas previas.</w:t>
            </w:r>
          </w:p>
        </w:tc>
      </w:tr>
      <w:tr w:rsidR="002A49F5" w:rsidTr="09AC5D30" w14:paraId="000A3E81" w14:textId="77777777">
        <w:tc>
          <w:tcPr>
            <w:tcW w:w="582" w:type="dxa"/>
            <w:tcMar/>
          </w:tcPr>
          <w:p w:rsidR="002A49F5" w:rsidP="00D51CAC" w:rsidRDefault="002A49F5" w14:paraId="3B8D3AA1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4629" w:type="dxa"/>
            <w:tcMar/>
          </w:tcPr>
          <w:p w:rsidR="002A49F5" w:rsidP="09AC5D30" w:rsidRDefault="002A49F5" w14:paraId="340F09EE" w14:textId="3E4C6466">
            <w:pPr>
              <w:pStyle w:val="Normal"/>
              <w:spacing w:before="120" w:after="120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9AC5D30" w:rsidR="7199D94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No se prevén ca</w:t>
            </w:r>
            <w:r w:rsidRPr="09AC5D30" w:rsidR="024ABD3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mbios de fecha</w:t>
            </w:r>
            <w:r w:rsidRPr="09AC5D30" w:rsidR="7199D94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masiv</w:t>
            </w:r>
            <w:r w:rsidRPr="09AC5D30" w:rsidR="044555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o</w:t>
            </w:r>
            <w:r w:rsidRPr="09AC5D30" w:rsidR="7199D94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 por causas externas</w:t>
            </w:r>
          </w:p>
        </w:tc>
        <w:tc>
          <w:tcPr>
            <w:tcW w:w="1560" w:type="dxa"/>
            <w:tcMar/>
          </w:tcPr>
          <w:p w:rsidR="002A49F5" w:rsidP="651CB850" w:rsidRDefault="002A49F5" w14:paraId="3FFCC854" w14:textId="35CCEBEC">
            <w:pPr>
              <w:pStyle w:val="Normal"/>
              <w:spacing w:before="120" w:after="120"/>
            </w:pPr>
            <w:r w:rsidRPr="651CB850" w:rsidR="141138F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Alejandro Nicolalde</w:t>
            </w:r>
          </w:p>
        </w:tc>
        <w:tc>
          <w:tcPr>
            <w:tcW w:w="1559" w:type="dxa"/>
            <w:tcMar/>
          </w:tcPr>
          <w:p w:rsidR="002A49F5" w:rsidP="651CB850" w:rsidRDefault="002A49F5" w14:paraId="5F9E0253" w14:textId="4D42975A">
            <w:pPr>
              <w:pStyle w:val="Normal"/>
              <w:spacing w:before="120" w:after="120"/>
            </w:pPr>
            <w:r w:rsidRPr="651CB850" w:rsidR="40B45E3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15/11/2024</w:t>
            </w:r>
          </w:p>
        </w:tc>
        <w:tc>
          <w:tcPr>
            <w:tcW w:w="1417" w:type="dxa"/>
            <w:tcMar/>
          </w:tcPr>
          <w:p w:rsidR="002A49F5" w:rsidP="651CB850" w:rsidRDefault="002A49F5" w14:paraId="4BCC12C0" w14:textId="4448FCD3">
            <w:pPr>
              <w:pStyle w:val="Normal"/>
              <w:spacing w:before="120" w:after="120"/>
            </w:pPr>
            <w:r w:rsidRPr="651CB850" w:rsidR="2015E42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Activo</w:t>
            </w:r>
          </w:p>
        </w:tc>
        <w:tc>
          <w:tcPr>
            <w:tcW w:w="4820" w:type="dxa"/>
            <w:tcMar/>
          </w:tcPr>
          <w:p w:rsidR="002A49F5" w:rsidP="09AC5D30" w:rsidRDefault="002A49F5" w14:paraId="705B77A7" w14:textId="2B49A863">
            <w:pPr>
              <w:pStyle w:val="Normal"/>
              <w:spacing w:before="120" w:after="120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9AC5D30" w:rsidR="2945767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Revisar cada trimestre las políticas de </w:t>
            </w:r>
            <w:r w:rsidRPr="09AC5D30" w:rsidR="754629B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edición de reservas</w:t>
            </w:r>
            <w:r w:rsidRPr="09AC5D30" w:rsidR="2945767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.</w:t>
            </w:r>
          </w:p>
        </w:tc>
      </w:tr>
      <w:tr w:rsidR="002A49F5" w:rsidTr="09AC5D30" w14:paraId="10E95CE1" w14:textId="77777777">
        <w:tc>
          <w:tcPr>
            <w:tcW w:w="582" w:type="dxa"/>
            <w:tcMar/>
          </w:tcPr>
          <w:p w:rsidR="002A49F5" w:rsidP="00D51CAC" w:rsidRDefault="002A49F5" w14:paraId="240C7FA8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629" w:type="dxa"/>
            <w:tcMar/>
          </w:tcPr>
          <w:p w:rsidR="002A49F5" w:rsidP="651CB850" w:rsidRDefault="002A49F5" w14:paraId="0E8A0AA1" w14:textId="6AC52F3A">
            <w:pPr>
              <w:pStyle w:val="Normal"/>
              <w:spacing w:before="120" w:after="120"/>
            </w:pPr>
            <w:r w:rsidRPr="651CB850" w:rsidR="1927821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El mantenimiento de los apartamentos será sin interrupciones</w:t>
            </w:r>
          </w:p>
        </w:tc>
        <w:tc>
          <w:tcPr>
            <w:tcW w:w="1560" w:type="dxa"/>
            <w:tcMar/>
          </w:tcPr>
          <w:p w:rsidR="002A49F5" w:rsidP="651CB850" w:rsidRDefault="002A49F5" w14:paraId="60C6853F" w14:textId="52BA0110">
            <w:pPr>
              <w:pStyle w:val="Normal"/>
              <w:spacing w:before="120" w:after="120"/>
            </w:pPr>
            <w:r w:rsidRPr="651CB850" w:rsidR="6128E73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Ramón Vergara</w:t>
            </w:r>
          </w:p>
        </w:tc>
        <w:tc>
          <w:tcPr>
            <w:tcW w:w="1559" w:type="dxa"/>
            <w:tcMar/>
          </w:tcPr>
          <w:p w:rsidR="002A49F5" w:rsidP="651CB850" w:rsidRDefault="002A49F5" w14:paraId="3AF2BC05" w14:textId="3147C60C">
            <w:pPr>
              <w:pStyle w:val="Normal"/>
              <w:spacing w:before="120" w:after="120"/>
            </w:pPr>
            <w:r w:rsidRPr="651CB850" w:rsidR="050AA19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01/12/2024</w:t>
            </w:r>
          </w:p>
        </w:tc>
        <w:tc>
          <w:tcPr>
            <w:tcW w:w="1417" w:type="dxa"/>
            <w:tcMar/>
          </w:tcPr>
          <w:p w:rsidR="002A49F5" w:rsidP="651CB850" w:rsidRDefault="002A49F5" w14:paraId="0D23E882" w14:textId="591B78DD">
            <w:pPr>
              <w:pStyle w:val="Normal"/>
              <w:spacing w:before="120" w:after="120"/>
            </w:pPr>
            <w:r w:rsidRPr="651CB850" w:rsidR="66F6A06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Pendiente</w:t>
            </w:r>
          </w:p>
        </w:tc>
        <w:tc>
          <w:tcPr>
            <w:tcW w:w="4820" w:type="dxa"/>
            <w:tcMar/>
          </w:tcPr>
          <w:p w:rsidR="002A49F5" w:rsidP="651CB850" w:rsidRDefault="002A49F5" w14:paraId="4A17DF96" w14:textId="237477BC">
            <w:pPr>
              <w:pStyle w:val="Normal"/>
              <w:spacing w:before="120" w:after="120"/>
            </w:pPr>
            <w:r w:rsidRPr="651CB850" w:rsidR="7055603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Coordinar con el equipo de mantenimiento.</w:t>
            </w:r>
          </w:p>
        </w:tc>
      </w:tr>
      <w:tr w:rsidR="002A49F5" w:rsidTr="09AC5D30" w14:paraId="06D88C5D" w14:textId="77777777">
        <w:tc>
          <w:tcPr>
            <w:tcW w:w="582" w:type="dxa"/>
            <w:tcMar/>
          </w:tcPr>
          <w:p w:rsidR="002A49F5" w:rsidP="00D51CAC" w:rsidRDefault="002A49F5" w14:paraId="639CDFFB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4629" w:type="dxa"/>
            <w:tcMar/>
          </w:tcPr>
          <w:p w:rsidR="002A49F5" w:rsidP="651CB850" w:rsidRDefault="002A49F5" w14:paraId="14497B86" w14:textId="5766F689">
            <w:pPr>
              <w:pStyle w:val="Normal"/>
              <w:spacing w:before="120" w:after="120"/>
            </w:pPr>
            <w:r w:rsidRPr="651CB850" w:rsidR="4BE77A6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 actualizarán tarifas si la demanda aumenta en un 20%</w:t>
            </w:r>
          </w:p>
        </w:tc>
        <w:tc>
          <w:tcPr>
            <w:tcW w:w="1560" w:type="dxa"/>
            <w:tcMar/>
          </w:tcPr>
          <w:p w:rsidR="002A49F5" w:rsidP="651CB850" w:rsidRDefault="002A49F5" w14:paraId="62148743" w14:textId="08062155">
            <w:pPr>
              <w:pStyle w:val="Normal"/>
              <w:spacing w:before="120" w:after="120"/>
            </w:pPr>
            <w:r w:rsidRPr="651CB850" w:rsidR="3BA03C9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José Manuel Miret</w:t>
            </w:r>
          </w:p>
        </w:tc>
        <w:tc>
          <w:tcPr>
            <w:tcW w:w="1559" w:type="dxa"/>
            <w:tcMar/>
          </w:tcPr>
          <w:p w:rsidR="002A49F5" w:rsidP="651CB850" w:rsidRDefault="002A49F5" w14:paraId="48960F66" w14:textId="1BBE1950">
            <w:pPr>
              <w:pStyle w:val="Normal"/>
              <w:spacing w:before="120" w:after="120"/>
            </w:pPr>
            <w:r w:rsidRPr="651CB850" w:rsidR="7CBBDED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20/10/2024</w:t>
            </w:r>
          </w:p>
        </w:tc>
        <w:tc>
          <w:tcPr>
            <w:tcW w:w="1417" w:type="dxa"/>
            <w:tcMar/>
          </w:tcPr>
          <w:p w:rsidR="002A49F5" w:rsidP="651CB850" w:rsidRDefault="002A49F5" w14:paraId="3FD991C6" w14:textId="6C256A0E">
            <w:pPr>
              <w:pStyle w:val="Normal"/>
              <w:spacing w:before="120" w:after="120"/>
            </w:pPr>
            <w:r w:rsidRPr="651CB850" w:rsidR="4E971EE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En Proceso</w:t>
            </w:r>
          </w:p>
        </w:tc>
        <w:tc>
          <w:tcPr>
            <w:tcW w:w="4820" w:type="dxa"/>
            <w:tcMar/>
          </w:tcPr>
          <w:p w:rsidR="002A49F5" w:rsidP="651CB850" w:rsidRDefault="002A49F5" w14:paraId="24E1D5EC" w14:textId="5E50FEC0">
            <w:pPr>
              <w:pStyle w:val="Normal"/>
              <w:spacing w:before="120" w:after="120"/>
            </w:pPr>
            <w:r w:rsidRPr="651CB850" w:rsidR="29B8386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Monitorear fluctuaciones de demanda semanalmente.</w:t>
            </w:r>
          </w:p>
        </w:tc>
      </w:tr>
      <w:tr w:rsidR="002A49F5" w:rsidTr="09AC5D30" w14:paraId="0315EAF7" w14:textId="77777777">
        <w:tc>
          <w:tcPr>
            <w:tcW w:w="582" w:type="dxa"/>
            <w:tcMar/>
          </w:tcPr>
          <w:p w:rsidR="002A49F5" w:rsidP="00D51CAC" w:rsidRDefault="002A49F5" w14:paraId="3C8D8628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4629" w:type="dxa"/>
            <w:tcMar/>
          </w:tcPr>
          <w:p w:rsidR="002A49F5" w:rsidP="651CB850" w:rsidRDefault="002A49F5" w14:paraId="1C60731E" w14:textId="1D152D80">
            <w:pPr>
              <w:pStyle w:val="Normal"/>
              <w:spacing w:before="120" w:after="120"/>
            </w:pPr>
            <w:r w:rsidRPr="651CB850" w:rsidR="5975E62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Los huéspedes deben cumplir con las normativas de seguridad</w:t>
            </w:r>
          </w:p>
        </w:tc>
        <w:tc>
          <w:tcPr>
            <w:tcW w:w="1560" w:type="dxa"/>
            <w:tcMar/>
          </w:tcPr>
          <w:p w:rsidR="002A49F5" w:rsidP="651CB850" w:rsidRDefault="002A49F5" w14:paraId="3B2CFD6C" w14:textId="593D3894">
            <w:pPr>
              <w:pStyle w:val="Normal"/>
              <w:spacing w:before="120" w:after="120"/>
            </w:pPr>
            <w:r w:rsidRPr="651CB850" w:rsidR="42DEF4E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Pablo Rodríguez</w:t>
            </w:r>
          </w:p>
        </w:tc>
        <w:tc>
          <w:tcPr>
            <w:tcW w:w="1559" w:type="dxa"/>
            <w:tcMar/>
          </w:tcPr>
          <w:p w:rsidR="002A49F5" w:rsidP="651CB850" w:rsidRDefault="002A49F5" w14:paraId="4802E290" w14:textId="7AFD7695">
            <w:pPr>
              <w:pStyle w:val="Normal"/>
              <w:spacing w:before="120" w:after="120"/>
            </w:pPr>
            <w:r w:rsidRPr="651CB850" w:rsidR="3154925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05/11/2024</w:t>
            </w:r>
          </w:p>
        </w:tc>
        <w:tc>
          <w:tcPr>
            <w:tcW w:w="1417" w:type="dxa"/>
            <w:tcMar/>
          </w:tcPr>
          <w:p w:rsidR="002A49F5" w:rsidP="651CB850" w:rsidRDefault="002A49F5" w14:paraId="31BA8F59" w14:textId="0DE18C5D">
            <w:pPr>
              <w:pStyle w:val="Normal"/>
              <w:spacing w:before="120" w:after="120"/>
            </w:pPr>
            <w:r w:rsidRPr="651CB850" w:rsidR="19A7153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Activo</w:t>
            </w:r>
          </w:p>
        </w:tc>
        <w:tc>
          <w:tcPr>
            <w:tcW w:w="4820" w:type="dxa"/>
            <w:tcMar/>
          </w:tcPr>
          <w:p w:rsidR="002A49F5" w:rsidP="651CB850" w:rsidRDefault="002A49F5" w14:paraId="51F36FD4" w14:textId="5E0D4846">
            <w:pPr>
              <w:pStyle w:val="Normal"/>
              <w:spacing w:before="120" w:after="120"/>
            </w:pPr>
            <w:r w:rsidRPr="651CB850" w:rsidR="62ABD3C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Recordar a los clientes sobre las reglas locales.</w:t>
            </w:r>
          </w:p>
        </w:tc>
      </w:tr>
      <w:tr w:rsidR="002A49F5" w:rsidTr="09AC5D30" w14:paraId="073F1708" w14:textId="77777777">
        <w:tc>
          <w:tcPr>
            <w:tcW w:w="582" w:type="dxa"/>
            <w:tcMar/>
          </w:tcPr>
          <w:p w:rsidR="002A49F5" w:rsidP="00D51CAC" w:rsidRDefault="002A49F5" w14:paraId="7AE3BC20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4629" w:type="dxa"/>
            <w:tcMar/>
          </w:tcPr>
          <w:p w:rsidR="002A49F5" w:rsidP="651CB850" w:rsidRDefault="002A49F5" w14:paraId="0DB512E3" w14:textId="55F746C0">
            <w:pPr>
              <w:pStyle w:val="Normal"/>
              <w:spacing w:before="120" w:after="120"/>
            </w:pPr>
            <w:r w:rsidRPr="651CB850" w:rsidR="5F480A1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 ampliarán los canales de marketing digital en un 30%</w:t>
            </w:r>
          </w:p>
        </w:tc>
        <w:tc>
          <w:tcPr>
            <w:tcW w:w="1560" w:type="dxa"/>
            <w:tcMar/>
          </w:tcPr>
          <w:p w:rsidR="002A49F5" w:rsidP="651CB850" w:rsidRDefault="002A49F5" w14:paraId="76A25139" w14:textId="16D9CE8A">
            <w:pPr>
              <w:pStyle w:val="Normal"/>
              <w:spacing w:before="120" w:after="120"/>
            </w:pPr>
            <w:r w:rsidRPr="651CB850" w:rsidR="307248B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Rubén Romero</w:t>
            </w:r>
          </w:p>
        </w:tc>
        <w:tc>
          <w:tcPr>
            <w:tcW w:w="1559" w:type="dxa"/>
            <w:tcMar/>
          </w:tcPr>
          <w:p w:rsidR="002A49F5" w:rsidP="651CB850" w:rsidRDefault="002A49F5" w14:paraId="4C12F1D7" w14:textId="272A5473">
            <w:pPr>
              <w:pStyle w:val="Normal"/>
              <w:spacing w:before="120" w:after="120"/>
            </w:pPr>
            <w:r w:rsidRPr="651CB850" w:rsidR="1152E84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31/10/2024</w:t>
            </w:r>
          </w:p>
        </w:tc>
        <w:tc>
          <w:tcPr>
            <w:tcW w:w="1417" w:type="dxa"/>
            <w:tcMar/>
          </w:tcPr>
          <w:p w:rsidR="002A49F5" w:rsidP="651CB850" w:rsidRDefault="002A49F5" w14:paraId="0DD4A1F2" w14:textId="59AD96D7">
            <w:pPr>
              <w:pStyle w:val="Normal"/>
              <w:spacing w:before="120" w:after="120"/>
            </w:pPr>
            <w:r w:rsidRPr="651CB850" w:rsidR="4F565A4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En Revisión</w:t>
            </w:r>
          </w:p>
        </w:tc>
        <w:tc>
          <w:tcPr>
            <w:tcW w:w="4820" w:type="dxa"/>
            <w:tcMar/>
          </w:tcPr>
          <w:p w:rsidR="002A49F5" w:rsidP="651CB850" w:rsidRDefault="002A49F5" w14:paraId="14E3EE71" w14:textId="6BF1B93B">
            <w:pPr>
              <w:pStyle w:val="Normal"/>
              <w:spacing w:before="120" w:after="120"/>
            </w:pPr>
            <w:r w:rsidRPr="651CB850" w:rsidR="7199D33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Colaborar con el equipo de marketing.</w:t>
            </w:r>
          </w:p>
        </w:tc>
      </w:tr>
    </w:tbl>
    <w:p w:rsidR="001114F6" w:rsidP="001F24E4" w:rsidRDefault="001114F6" w14:paraId="1A8D8780" w14:textId="77777777">
      <w:pPr>
        <w:spacing w:after="0"/>
        <w:rPr>
          <w:b/>
          <w:sz w:val="20"/>
          <w:lang w:val="es-PA"/>
        </w:rPr>
      </w:pPr>
    </w:p>
    <w:sectPr w:rsidR="001114F6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7BEA" w:rsidP="00837F2F" w:rsidRDefault="00677BEA" w14:paraId="5C576F75" w14:textId="77777777">
      <w:pPr>
        <w:spacing w:after="0" w:line="240" w:lineRule="auto"/>
      </w:pPr>
      <w:r>
        <w:separator/>
      </w:r>
    </w:p>
  </w:endnote>
  <w:endnote w:type="continuationSeparator" w:id="0">
    <w:p w:rsidR="00677BEA" w:rsidP="00837F2F" w:rsidRDefault="00677BEA" w14:paraId="575F96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2C9BA461" w14:textId="5437F5CF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037805">
      <w:rPr>
        <w:noProof/>
      </w:rPr>
      <w:t>1</w:t>
    </w:r>
    <w:r>
      <w:fldChar w:fldCharType="end"/>
    </w:r>
  </w:p>
  <w:p w:rsidRPr="00837F2F" w:rsidR="00837F2F" w:rsidP="00837F2F" w:rsidRDefault="00C769CD" w14:paraId="69FDDDC0" w14:textId="70C487A9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7BEA" w:rsidP="00837F2F" w:rsidRDefault="00677BEA" w14:paraId="0053E46A" w14:textId="77777777">
      <w:pPr>
        <w:spacing w:after="0" w:line="240" w:lineRule="auto"/>
      </w:pPr>
      <w:r>
        <w:separator/>
      </w:r>
    </w:p>
  </w:footnote>
  <w:footnote w:type="continuationSeparator" w:id="0">
    <w:p w:rsidR="00677BEA" w:rsidP="00837F2F" w:rsidRDefault="00677BEA" w14:paraId="016029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1114F6" w14:paraId="48B4E873" w14:textId="371977F1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961F6F">
      <w:rPr>
        <w:b/>
        <w:sz w:val="36"/>
      </w:rPr>
      <w:t>SUPUESTOS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7805"/>
    <w:rsid w:val="000512B0"/>
    <w:rsid w:val="000710CD"/>
    <w:rsid w:val="000C58ED"/>
    <w:rsid w:val="000E6155"/>
    <w:rsid w:val="00105DAE"/>
    <w:rsid w:val="001114F6"/>
    <w:rsid w:val="00131E1D"/>
    <w:rsid w:val="00162139"/>
    <w:rsid w:val="001A5F11"/>
    <w:rsid w:val="001E2CEF"/>
    <w:rsid w:val="001F24E4"/>
    <w:rsid w:val="00204A21"/>
    <w:rsid w:val="002064D6"/>
    <w:rsid w:val="00217C94"/>
    <w:rsid w:val="0028298D"/>
    <w:rsid w:val="00296934"/>
    <w:rsid w:val="002A49F5"/>
    <w:rsid w:val="00355532"/>
    <w:rsid w:val="00387B0B"/>
    <w:rsid w:val="003D218D"/>
    <w:rsid w:val="003E16E9"/>
    <w:rsid w:val="00456964"/>
    <w:rsid w:val="00476230"/>
    <w:rsid w:val="004D078B"/>
    <w:rsid w:val="0051331B"/>
    <w:rsid w:val="0055087B"/>
    <w:rsid w:val="005910C2"/>
    <w:rsid w:val="005C6798"/>
    <w:rsid w:val="00615B65"/>
    <w:rsid w:val="0064503C"/>
    <w:rsid w:val="00651AA9"/>
    <w:rsid w:val="00677BEA"/>
    <w:rsid w:val="006913BA"/>
    <w:rsid w:val="006B191B"/>
    <w:rsid w:val="006B2A51"/>
    <w:rsid w:val="00763B75"/>
    <w:rsid w:val="00775792"/>
    <w:rsid w:val="0079596E"/>
    <w:rsid w:val="00796E26"/>
    <w:rsid w:val="00796EAD"/>
    <w:rsid w:val="007C620A"/>
    <w:rsid w:val="00837F2F"/>
    <w:rsid w:val="00891B24"/>
    <w:rsid w:val="008958E4"/>
    <w:rsid w:val="008B708A"/>
    <w:rsid w:val="00921038"/>
    <w:rsid w:val="00924DFE"/>
    <w:rsid w:val="0095401D"/>
    <w:rsid w:val="0095413E"/>
    <w:rsid w:val="00961F6F"/>
    <w:rsid w:val="0099587A"/>
    <w:rsid w:val="009B57BF"/>
    <w:rsid w:val="00A27105"/>
    <w:rsid w:val="00A45DF9"/>
    <w:rsid w:val="00A76241"/>
    <w:rsid w:val="00A95442"/>
    <w:rsid w:val="00AA2C51"/>
    <w:rsid w:val="00AC7789"/>
    <w:rsid w:val="00AD5DD1"/>
    <w:rsid w:val="00B57964"/>
    <w:rsid w:val="00B95FB6"/>
    <w:rsid w:val="00BD4FA7"/>
    <w:rsid w:val="00BE3CDA"/>
    <w:rsid w:val="00BF037F"/>
    <w:rsid w:val="00C441A8"/>
    <w:rsid w:val="00C479B5"/>
    <w:rsid w:val="00C769CD"/>
    <w:rsid w:val="00CB54FD"/>
    <w:rsid w:val="00CE7226"/>
    <w:rsid w:val="00CF46C3"/>
    <w:rsid w:val="00CF78D0"/>
    <w:rsid w:val="00D22DE6"/>
    <w:rsid w:val="00D51CAC"/>
    <w:rsid w:val="00DA27AF"/>
    <w:rsid w:val="00DE7D9A"/>
    <w:rsid w:val="00DF09F4"/>
    <w:rsid w:val="00E247D6"/>
    <w:rsid w:val="00E474E7"/>
    <w:rsid w:val="00E566F8"/>
    <w:rsid w:val="00EA25E4"/>
    <w:rsid w:val="00EA4A2A"/>
    <w:rsid w:val="00EE202B"/>
    <w:rsid w:val="00EF1A26"/>
    <w:rsid w:val="00F10776"/>
    <w:rsid w:val="00F76F0A"/>
    <w:rsid w:val="00F848A6"/>
    <w:rsid w:val="00F90956"/>
    <w:rsid w:val="00F96C66"/>
    <w:rsid w:val="00FA7A18"/>
    <w:rsid w:val="024ABD3D"/>
    <w:rsid w:val="044555BD"/>
    <w:rsid w:val="050AA19F"/>
    <w:rsid w:val="057394D5"/>
    <w:rsid w:val="066C1D36"/>
    <w:rsid w:val="0687B543"/>
    <w:rsid w:val="06BAAF42"/>
    <w:rsid w:val="07854DC7"/>
    <w:rsid w:val="07D96582"/>
    <w:rsid w:val="09AC5D30"/>
    <w:rsid w:val="0B5BC30D"/>
    <w:rsid w:val="0C60DFBF"/>
    <w:rsid w:val="0E377B8A"/>
    <w:rsid w:val="0E796EDC"/>
    <w:rsid w:val="1152E84B"/>
    <w:rsid w:val="141138FC"/>
    <w:rsid w:val="1927821C"/>
    <w:rsid w:val="19A71536"/>
    <w:rsid w:val="19AEE914"/>
    <w:rsid w:val="1C5EFAD3"/>
    <w:rsid w:val="1F7354B3"/>
    <w:rsid w:val="1FC99D54"/>
    <w:rsid w:val="2011A3B9"/>
    <w:rsid w:val="2015E42A"/>
    <w:rsid w:val="237556EF"/>
    <w:rsid w:val="2945767C"/>
    <w:rsid w:val="29B83863"/>
    <w:rsid w:val="2CCD72E6"/>
    <w:rsid w:val="2ECE39BB"/>
    <w:rsid w:val="307248B8"/>
    <w:rsid w:val="31549252"/>
    <w:rsid w:val="343830DE"/>
    <w:rsid w:val="34551819"/>
    <w:rsid w:val="3A02F7C2"/>
    <w:rsid w:val="3BA03C9D"/>
    <w:rsid w:val="3D7269F7"/>
    <w:rsid w:val="3F7BC515"/>
    <w:rsid w:val="40B45E3A"/>
    <w:rsid w:val="42D1611A"/>
    <w:rsid w:val="42DEF4E2"/>
    <w:rsid w:val="46D3081A"/>
    <w:rsid w:val="480E5072"/>
    <w:rsid w:val="4BE77A62"/>
    <w:rsid w:val="4E971EE7"/>
    <w:rsid w:val="4F565A41"/>
    <w:rsid w:val="5146C708"/>
    <w:rsid w:val="5975E621"/>
    <w:rsid w:val="5DAF7485"/>
    <w:rsid w:val="5F480A1F"/>
    <w:rsid w:val="6128E732"/>
    <w:rsid w:val="62ABD3C1"/>
    <w:rsid w:val="6465F620"/>
    <w:rsid w:val="651CB850"/>
    <w:rsid w:val="66F6A063"/>
    <w:rsid w:val="7055603A"/>
    <w:rsid w:val="7199D330"/>
    <w:rsid w:val="7199D941"/>
    <w:rsid w:val="754629B0"/>
    <w:rsid w:val="7CBBD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5</revision>
  <dcterms:created xsi:type="dcterms:W3CDTF">2024-09-13T17:08:00.0000000Z</dcterms:created>
  <dcterms:modified xsi:type="dcterms:W3CDTF">2024-11-08T20:58:17.6747451Z</dcterms:modified>
</coreProperties>
</file>