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庭好的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APP有三种：设计师APP、材料商APP、家装APP、庭好的小程序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材料商、装修公司、设计师、装房客户&amp;企业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  <w:r>
        <w:rPr>
          <w:rFonts w:hint="eastAsia" w:ascii="楷体" w:hAnsi="楷体" w:eastAsia="楷体" w:cs="楷体"/>
          <w:highlight w:val="none"/>
          <w:lang w:val="en-US" w:eastAsia="zh-CN"/>
        </w:rPr>
        <w:t>首页搜索条件：查询楼盘、设计师入驻、淘宝</w:t>
      </w:r>
    </w:p>
    <w:p>
      <w:pPr>
        <w:rPr>
          <w:rFonts w:hint="eastAsia" w:ascii="楷体" w:hAnsi="楷体" w:eastAsia="楷体" w:cs="楷体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手册：</w:t>
      </w:r>
      <w:r>
        <w:rPr>
          <w:rFonts w:hint="eastAsia" w:ascii="楷体" w:hAnsi="楷体" w:eastAsia="楷体" w:cs="楷体"/>
          <w:lang w:eastAsia="zh-CN"/>
        </w:rPr>
        <w:fldChar w:fldCharType="begin"/>
      </w:r>
      <w:r>
        <w:rPr>
          <w:rFonts w:hint="eastAsia" w:ascii="楷体" w:hAnsi="楷体" w:eastAsia="楷体" w:cs="楷体"/>
          <w:lang w:eastAsia="zh-CN"/>
        </w:rPr>
        <w:instrText xml:space="preserve"> HYPERLINK "http://www.shouce.ren/api/index" </w:instrText>
      </w:r>
      <w:r>
        <w:rPr>
          <w:rFonts w:hint="eastAsia" w:ascii="楷体" w:hAnsi="楷体" w:eastAsia="楷体" w:cs="楷体"/>
          <w:lang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eastAsia="zh-CN"/>
        </w:rPr>
        <w:t>http://www.shouce.ren/api/index</w:t>
      </w:r>
      <w:r>
        <w:rPr>
          <w:rFonts w:hint="eastAsia" w:ascii="楷体" w:hAnsi="楷体" w:eastAsia="楷体" w:cs="楷体"/>
          <w:lang w:eastAsia="zh-CN"/>
        </w:rPr>
        <w:fldChar w:fldCharType="end"/>
      </w:r>
    </w:p>
    <w:p>
      <w:pPr>
        <w:jc w:val="center"/>
        <w:rPr>
          <w:rFonts w:hint="eastAsia" w:ascii="楷体" w:hAnsi="楷体" w:eastAsia="楷体" w:cs="楷体"/>
          <w:lang w:eastAsia="zh-CN"/>
        </w:rPr>
      </w:pPr>
    </w:p>
    <w:p>
      <w:pPr>
        <w:rPr>
          <w:rFonts w:hint="eastAsia" w:ascii="楷体" w:hAnsi="楷体" w:eastAsia="楷体" w:cs="楷体"/>
          <w:highlight w:val="yellow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使用的框架是</w:t>
      </w:r>
      <w:r>
        <w:rPr>
          <w:rFonts w:hint="eastAsia" w:ascii="楷体" w:hAnsi="楷体" w:eastAsia="楷体" w:cs="楷体"/>
          <w:highlight w:val="yellow"/>
          <w:lang w:val="en-US" w:eastAsia="zh-CN"/>
        </w:rPr>
        <w:t>thinkPHP3.2 &amp; thinkPHP5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再循环中，break是终止循环，而</w:t>
      </w:r>
      <w:r>
        <w:rPr>
          <w:rFonts w:hint="eastAsia" w:ascii="楷体" w:hAnsi="楷体" w:eastAsia="楷体" w:cs="楷体"/>
          <w:lang w:eastAsia="zh-CN"/>
        </w:rPr>
        <w:t>continue只是跳过本次进行下次循环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Eolinker 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"https://blog.csdn.net/deronwilliam/article/details/79972651"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https://blog.csdn.net/deronwilliam/article/details/79972651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javascript通过navigator.userAgent识别各种浏览器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navigator.userAgent： 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"https://blog.csdn.net/qq_33106863/article/details/80907071"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6"/>
          <w:rFonts w:hint="eastAsia" w:ascii="楷体" w:hAnsi="楷体" w:eastAsia="楷体" w:cs="楷体"/>
          <w:lang w:val="en-US" w:eastAsia="zh-CN"/>
        </w:rPr>
        <w:t>https://blog.csdn.net/qq_33106863/article/details/80907071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接口文件 ：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使用thinkPHP框架发送邮件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Excel要实现导入&amp;导出</w:t>
      </w:r>
    </w:p>
    <w:p>
      <w:p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thinkPHP3.2 内置函数：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"https://www.cnblogs.com/programs/p/5487853.html"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eastAsia" w:ascii="楷体" w:hAnsi="楷体" w:eastAsia="楷体" w:cs="楷体"/>
          <w:lang w:val="en-US" w:eastAsia="zh-CN"/>
        </w:rPr>
        <w:t>Thinkphp中的A 函数（Thinkphp3.2.3版本）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A函数是TP中实例化控制器的一个快捷函数，它的语法结构如下：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A('模块/控制器')//当控制器层名称不是 Controller 时须这样写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A('模块/控制器','控制器层名称')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如果要调用的控制器就在当前模块下，那么也可以按如下语法写：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A('控制器')//或者这样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A('控制器','控制器层名称')</w:t>
      </w:r>
    </w:p>
    <w:p>
      <w:pPr>
        <w:ind w:firstLine="420" w:firstLineChars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"https://www.cnblogs.com/programs/p/5487853.html" </w:instrTex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https://www.cnblogs.com/programs/p/5487853.html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tinkphp中getField（）和field()区别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"https://blog.csdn.net/renxing518/article/details/78500228"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https://blog.csdn.net/renxing518/article/details/78500228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_initialize() 区别 __construct()</w:t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"https://blog.csdn.net/huangjinao/article/details/84554687"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https://blog.csdn.net/huangjinao/article/details/84554687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firstLine="420" w:firstLineChars="0"/>
        <w:rPr>
          <w:rStyle w:val="6"/>
          <w:rFonts w:hint="default" w:ascii="楷体" w:hAnsi="楷体" w:eastAsia="楷体" w:cs="楷体"/>
          <w:b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PHP将指定的内容换颜色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$content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我是张三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$keyword = 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‘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张三</w:t>
      </w:r>
      <w: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str_replace($keyword,"&lt;font color='red'&gt;".$keyword."&lt;/font&gt;",$content)</w:t>
      </w:r>
    </w:p>
    <w:p>
      <w:pPr>
        <w:rPr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结果：我是</w:t>
      </w:r>
      <w:r>
        <w:rPr>
          <w:rFonts w:hint="eastAsia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  <w:t>张三</w:t>
      </w: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2031365" cy="11125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Thinkphp 获取IP 的方法     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get_client_ip</w:t>
      </w:r>
      <w: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()</w:t>
      </w: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Thinkphp 框架中可以设置接值过滤，在配置中即可</w:t>
      </w: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"https://blog.csdn.net/qq_42447293/article/details/88724483" </w:instrTex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https://blog.csdn.net/qq_42447293/article/details/88724483</w:t>
      </w: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SQL：select * from Student order by (case when Age = 18 then 0 else 1 end)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Studetn表中的Age字段，如果Age等于18就排在最前面，其他的排在最后面，查询的结果如下：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name     age     sex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张三       18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李四       18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王五       17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孙七       19        男</w:t>
      </w:r>
    </w:p>
    <w:p>
      <w:pP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0"/>
          <w:szCs w:val="22"/>
          <w:highlight w:val="yellow"/>
          <w:lang w:val="en-US" w:eastAsia="zh-CN" w:bidi="ar-SA"/>
        </w:rPr>
        <w:t>赵六       20        男</w:t>
      </w:r>
    </w:p>
    <w:p>
      <w:pPr>
        <w:rPr>
          <w:rStyle w:val="6"/>
          <w:rFonts w:hint="default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</w:pPr>
    </w:p>
    <w:p>
      <w:pPr>
        <w:rPr>
          <w:rStyle w:val="6"/>
          <w:rFonts w:hint="default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eastAsia" w:ascii="楷体" w:hAnsi="楷体" w:eastAsia="楷体" w:cs="楷体"/>
          <w:b w:val="0"/>
          <w:color w:val="FF0000"/>
          <w:kern w:val="2"/>
          <w:sz w:val="21"/>
          <w:szCs w:val="24"/>
          <w:lang w:val="en-US" w:eastAsia="zh-CN" w:bidi="ar-SA"/>
        </w:rPr>
        <w:t>Thinkphp5 使用composer下载 Excel类包</w:t>
      </w:r>
    </w:p>
    <w:p>
      <w:pP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Style w:val="6"/>
          <w:rFonts w:hint="default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https://blog.csdn.net/qq_41962562/article/details/82315608</w:t>
      </w:r>
    </w:p>
    <w:p>
      <w:pPr>
        <w:rPr>
          <w:rStyle w:val="6"/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一、背景介绍：</w:t>
      </w:r>
    </w:p>
    <w:p>
      <w:pPr>
        <w:ind w:firstLine="420" w:firstLineChars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PhpSpreadsheet是PHPExcel的下一个版本。它打破了兼容性，大大提高了代码库质量（命名空间，PSR</w:t>
      </w: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合规性，最新PHP语言功能的使用等）。</w:t>
      </w:r>
    </w:p>
    <w:p>
      <w:pPr>
        <w:ind w:firstLine="420" w:firstLineChars="0"/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由于所有努力都转移到了PhpSpreadsheet，因此将不再维护PHPExcel。PHPExcel，补丁和新功能的所有贡献都应该针对PhpSpreadsheet开发分支。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二、Composer 中文网 / Packagist 中国全量镜像：https://www.phpcomposer.com/  打开安装包列表搜索phpspreadsheet；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资源链接：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"https://packagist.org/packages/phpoffice/phpspreadsheet"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https://packagist.org/packages/phpoffice/phpspreadsheet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   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复制命令 : composer require phpoffice/phpspreadsheet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三、创建Office类文件并封装，在需要导出Excel表的地方引入即可：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&lt;?php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namespace app\index\controller;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use PhpOffice\PhpSpreadsheet\Spreadsheet;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use PhpOffice\PhpSpreadsheet\Writer\Xlsx;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class Office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{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/**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 导出excel表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 $data：要导出excel表的数据，接受一个二维数组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 $name：excel表的表名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 $head：excel表的表头，接受一个一维数组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 $key：$data中对应表头的键的数组，接受一个一维数组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 备注：此函数缺点是，表头（对应列数）不能超过26；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*循环不够灵活，一个单元格中不方便存放两个数据库字段的值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*/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public function outdata($name='测试表', $data=[], $head=[], $keys=[])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{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$count = count($head);  //计算表头数量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$spreadsheet = new Spreadsheet();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$sheet = $spreadsheet-&gt;getActiveSheet();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for ($i = 65; $i &lt; $count + 65; $i++) {     //数字转字母从65开始，循环设置表头：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    $sheet-&gt;setCellValue(strtoupper(chr($i)) . '1', $head[$i - 65]);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/*--------------开始从数据库提取信息插入Excel表中------------------*/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foreach ($data as $key =&gt; $item) {             //循环设置单元格：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    //$key+2,因为第一行是表头，所以写到表格时   从第二行开始写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    for ($i = 65; $i &lt; $count + 65; $i++) {     //数字转字母从65开始：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        $sheet-&gt;setCellValue(strtoupper(chr($i)) . ($key + 2), $item[$keys[$i - 65]]);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        $spreadsheet-&gt;getActiveSheet()-&gt;getColumnDimension(strtoupper(chr($i)))-&gt;setWidth(20); //固定列宽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    }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header('Content-Type: application/vnd.ms-excel');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header('Content-Disposition: attachment;filename="' . $name . '.xlsx"');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header('Cache-Control: max-age=0');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$writer = new Xlsx($spreadsheet);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$writer-&gt;save('php://output');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//删除清空：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$spreadsheet-&gt;disconnectWorksheets();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unset($spreadsheet);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    exit;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>调用示例：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$excel = new Office();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//设置表头：</w:t>
      </w:r>
      <w:bookmarkStart w:id="0" w:name="_GoBack"/>
      <w:bookmarkEnd w:id="0"/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$head = ['订单编号', '商品总数', '收货人', '联系电话', '收货地址'];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//数据中对应的字段，用于读取相应数据：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$keys = ['order_sn', 'num', 'consignee', 'phone', 'detail'];       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 </w:t>
      </w:r>
    </w:p>
    <w:p>
      <w:pP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 w:val="0"/>
          <w:kern w:val="2"/>
          <w:sz w:val="21"/>
          <w:szCs w:val="24"/>
          <w:lang w:val="en-US" w:eastAsia="zh-CN" w:bidi="ar-SA"/>
        </w:rPr>
        <w:t xml:space="preserve">    $excel-&gt;outdata('订单表', $orders, $head, $keys);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3EBA"/>
    <w:rsid w:val="019261DC"/>
    <w:rsid w:val="02D078C1"/>
    <w:rsid w:val="038D5126"/>
    <w:rsid w:val="040F3BD6"/>
    <w:rsid w:val="04417C90"/>
    <w:rsid w:val="04EE4B9F"/>
    <w:rsid w:val="058C0452"/>
    <w:rsid w:val="05C1502A"/>
    <w:rsid w:val="060D1E9D"/>
    <w:rsid w:val="06450409"/>
    <w:rsid w:val="094115F3"/>
    <w:rsid w:val="098452AC"/>
    <w:rsid w:val="0A0033AB"/>
    <w:rsid w:val="0A885C99"/>
    <w:rsid w:val="0C265C74"/>
    <w:rsid w:val="0CF85716"/>
    <w:rsid w:val="10861B44"/>
    <w:rsid w:val="10FD0D8B"/>
    <w:rsid w:val="11042501"/>
    <w:rsid w:val="114B0CB3"/>
    <w:rsid w:val="123D6A66"/>
    <w:rsid w:val="141026C8"/>
    <w:rsid w:val="15AF7F4B"/>
    <w:rsid w:val="15D067BC"/>
    <w:rsid w:val="16401C30"/>
    <w:rsid w:val="16A76102"/>
    <w:rsid w:val="16AE7658"/>
    <w:rsid w:val="17287611"/>
    <w:rsid w:val="17E430F1"/>
    <w:rsid w:val="17E51593"/>
    <w:rsid w:val="186F39DF"/>
    <w:rsid w:val="194E74B7"/>
    <w:rsid w:val="196831FE"/>
    <w:rsid w:val="19851981"/>
    <w:rsid w:val="1B4E7BB6"/>
    <w:rsid w:val="1CB03F9D"/>
    <w:rsid w:val="1CE2377F"/>
    <w:rsid w:val="1D3E3BC8"/>
    <w:rsid w:val="1D5F3CF9"/>
    <w:rsid w:val="203E65E3"/>
    <w:rsid w:val="208E11AC"/>
    <w:rsid w:val="2120114C"/>
    <w:rsid w:val="212F514F"/>
    <w:rsid w:val="21473B3B"/>
    <w:rsid w:val="21D45CC8"/>
    <w:rsid w:val="2216657D"/>
    <w:rsid w:val="226A545B"/>
    <w:rsid w:val="229A1FA4"/>
    <w:rsid w:val="236E0509"/>
    <w:rsid w:val="24FD5000"/>
    <w:rsid w:val="26161DF4"/>
    <w:rsid w:val="26BB2B58"/>
    <w:rsid w:val="26E35DAC"/>
    <w:rsid w:val="27674534"/>
    <w:rsid w:val="27810BCB"/>
    <w:rsid w:val="27AE13A8"/>
    <w:rsid w:val="282C4098"/>
    <w:rsid w:val="28587705"/>
    <w:rsid w:val="288E1BD4"/>
    <w:rsid w:val="292C669D"/>
    <w:rsid w:val="2A246899"/>
    <w:rsid w:val="2B6165F9"/>
    <w:rsid w:val="2D4252A0"/>
    <w:rsid w:val="2DB64DE6"/>
    <w:rsid w:val="2FDE21A2"/>
    <w:rsid w:val="311209E4"/>
    <w:rsid w:val="31332F83"/>
    <w:rsid w:val="325C0045"/>
    <w:rsid w:val="33355053"/>
    <w:rsid w:val="33EB1230"/>
    <w:rsid w:val="346E2543"/>
    <w:rsid w:val="34FF3A17"/>
    <w:rsid w:val="35C3429A"/>
    <w:rsid w:val="378E22FE"/>
    <w:rsid w:val="379D2CE8"/>
    <w:rsid w:val="384F7844"/>
    <w:rsid w:val="38D876A5"/>
    <w:rsid w:val="39C476F7"/>
    <w:rsid w:val="3A0115FE"/>
    <w:rsid w:val="3BBC010F"/>
    <w:rsid w:val="3DF4110A"/>
    <w:rsid w:val="3E630604"/>
    <w:rsid w:val="3E7F05BF"/>
    <w:rsid w:val="40651DFA"/>
    <w:rsid w:val="4173077B"/>
    <w:rsid w:val="41844DF5"/>
    <w:rsid w:val="44112358"/>
    <w:rsid w:val="455F66A1"/>
    <w:rsid w:val="46770ACD"/>
    <w:rsid w:val="47231EE3"/>
    <w:rsid w:val="47B73710"/>
    <w:rsid w:val="4B415BB3"/>
    <w:rsid w:val="4CAC5687"/>
    <w:rsid w:val="4D8B2915"/>
    <w:rsid w:val="4F2207AA"/>
    <w:rsid w:val="4F57079A"/>
    <w:rsid w:val="50274AAC"/>
    <w:rsid w:val="51942E2E"/>
    <w:rsid w:val="51D745AB"/>
    <w:rsid w:val="52681FF3"/>
    <w:rsid w:val="52F94270"/>
    <w:rsid w:val="532C3B2A"/>
    <w:rsid w:val="53F47E45"/>
    <w:rsid w:val="542D3C26"/>
    <w:rsid w:val="54721314"/>
    <w:rsid w:val="56072EE7"/>
    <w:rsid w:val="562F3C5A"/>
    <w:rsid w:val="56362301"/>
    <w:rsid w:val="567036EC"/>
    <w:rsid w:val="568804F4"/>
    <w:rsid w:val="57952A4B"/>
    <w:rsid w:val="58B334FB"/>
    <w:rsid w:val="5969109E"/>
    <w:rsid w:val="59B31D64"/>
    <w:rsid w:val="5A5F75EC"/>
    <w:rsid w:val="5B0C15B1"/>
    <w:rsid w:val="5B354CE6"/>
    <w:rsid w:val="5D824CD6"/>
    <w:rsid w:val="5D85384B"/>
    <w:rsid w:val="5E306DAA"/>
    <w:rsid w:val="5FE13F78"/>
    <w:rsid w:val="60210BE4"/>
    <w:rsid w:val="6032060A"/>
    <w:rsid w:val="60551CF7"/>
    <w:rsid w:val="60953AE5"/>
    <w:rsid w:val="60B94795"/>
    <w:rsid w:val="61226DFC"/>
    <w:rsid w:val="6209256F"/>
    <w:rsid w:val="62837C66"/>
    <w:rsid w:val="6354124E"/>
    <w:rsid w:val="63851CAB"/>
    <w:rsid w:val="63B77490"/>
    <w:rsid w:val="64610498"/>
    <w:rsid w:val="65200FCF"/>
    <w:rsid w:val="657E0786"/>
    <w:rsid w:val="657E7B34"/>
    <w:rsid w:val="66487518"/>
    <w:rsid w:val="66D155B1"/>
    <w:rsid w:val="676D416A"/>
    <w:rsid w:val="68105109"/>
    <w:rsid w:val="685228E1"/>
    <w:rsid w:val="695D3BFB"/>
    <w:rsid w:val="69C25BDF"/>
    <w:rsid w:val="6AD70634"/>
    <w:rsid w:val="6CE320D4"/>
    <w:rsid w:val="6D10389A"/>
    <w:rsid w:val="6E2D69C1"/>
    <w:rsid w:val="6F425EAE"/>
    <w:rsid w:val="71C5626F"/>
    <w:rsid w:val="72935C4A"/>
    <w:rsid w:val="72A15FAC"/>
    <w:rsid w:val="734F4262"/>
    <w:rsid w:val="735F0C55"/>
    <w:rsid w:val="73EC0388"/>
    <w:rsid w:val="75DC7209"/>
    <w:rsid w:val="75EC2ADA"/>
    <w:rsid w:val="75FA5313"/>
    <w:rsid w:val="7791602B"/>
    <w:rsid w:val="77EE1599"/>
    <w:rsid w:val="77F105BD"/>
    <w:rsid w:val="785278BF"/>
    <w:rsid w:val="78665D1E"/>
    <w:rsid w:val="78A7146C"/>
    <w:rsid w:val="78BE0716"/>
    <w:rsid w:val="7C3B4101"/>
    <w:rsid w:val="7CE31AA1"/>
    <w:rsid w:val="7FC6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2019-09-03T06:36:24Z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