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F4E" w:val="clear"/>
            <w:tcMar>
              <w:top w:type="dxa" w:w="700"/>
              <w:left w:type="dxa" w:w="400"/>
              <w:bottom w:type="dxa" w:w="700"/>
              <w:right w:type="dxa" w:w="400"/>
            </w:tcMar>
          </w:tcPr>
          <w:p>
            <w:pPr>
              <w:spacing w:after="100" w:before="0"/>
            </w:pPr>
            <w:r>
              <w:rPr>
                <w:rFonts w:ascii="Arial" w:cs="Arial" w:eastAsia="Arial" w:hAnsi="Arial"/>
                <w:b/>
                <w:bCs/>
                <w:color w:val="93C5FD"/>
                <w:sz w:val="20"/>
                <w:szCs w:val="20"/>
              </w:rPr>
              <w:t xml:space="preserve">ESPECIFICACIÓN FUNCIONAL — MVP</w:t>
            </w:r>
          </w:p>
          <w:p>
            <w:pPr>
              <w:spacing w:after="180" w:before="0"/>
            </w:pPr>
            <w:r>
              <w:rPr>
                <w:rFonts w:ascii="Arial" w:cs="Arial" w:eastAsia="Arial" w:hAnsi="Arial"/>
                <w:b/>
                <w:bCs/>
                <w:color w:val="FFFFFF"/>
                <w:sz w:val="72"/>
                <w:szCs w:val="72"/>
              </w:rPr>
              <w:t xml:space="preserve">KnowTwin</w:t>
            </w:r>
          </w:p>
          <w:p>
            <w:pPr>
              <w:spacing w:after="80" w:before="0"/>
            </w:pPr>
            <w:r>
              <w:rPr>
                <w:rFonts w:ascii="Arial" w:cs="Arial" w:eastAsia="Arial" w:hAnsi="Arial"/>
                <w:color w:val="BFDBFE"/>
                <w:sz w:val="30"/>
                <w:szCs w:val="30"/>
              </w:rPr>
              <w:t xml:space="preserve">Preservación del Conocimiento Organizativo</w:t>
            </w:r>
          </w:p>
          <w:p>
            <w:pPr>
              <w:spacing w:after="0" w:before="200"/>
            </w:pPr>
            <w:r>
              <w:rPr>
                <w:rFonts w:ascii="Arial" w:cs="Arial" w:eastAsia="Arial" w:hAnsi="Arial"/>
                <w:color w:val="93C5FD"/>
                <w:sz w:val="20"/>
                <w:szCs w:val="20"/>
              </w:rPr>
              <w:t xml:space="preserve">Cómo funciona el producto · Versión 1.0</w:t>
            </w:r>
          </w:p>
        </w:tc>
      </w:tr>
    </w:tbl>
    <w:p>
      <w:r>
        <w:rPr>
          <w:sz w:val="12"/>
          <w:szCs w:val="12"/>
        </w:rPr>
        <w:t xml:space="preserve"/>
      </w:r>
    </w:p>
    <w:p>
      <w:r>
        <w:rPr>
          <w:sz w:val="12"/>
          <w:szCs w:val="12"/>
        </w:rPr>
        <w:t xml:space="preserve"/>
      </w:r>
    </w:p>
    <w:p>
      <w:pPr>
        <w:spacing w:after="100" w:before="80"/>
      </w:pPr>
      <w:r>
        <w:rPr>
          <w:rFonts w:ascii="Arial" w:cs="Arial" w:eastAsia="Arial" w:hAnsi="Arial"/>
          <w:b/>
          <w:bCs/>
          <w:color w:val="64748B"/>
          <w:sz w:val="20"/>
          <w:szCs w:val="20"/>
        </w:rPr>
        <w:t xml:space="preserve">Fecha: </w:t>
      </w:r>
      <w:r>
        <w:rPr>
          <w:rFonts w:ascii="Arial" w:cs="Arial" w:eastAsia="Arial" w:hAnsi="Arial"/>
          <w:color w:val="64748B"/>
          <w:sz w:val="20"/>
          <w:szCs w:val="20"/>
        </w:rPr>
        <w:t xml:space="preserve">Junio 2026</w:t>
      </w:r>
    </w:p>
    <w:p>
      <w:pPr>
        <w:spacing w:after="100" w:before="80"/>
      </w:pPr>
      <w:r>
        <w:rPr>
          <w:rFonts w:ascii="Arial" w:cs="Arial" w:eastAsia="Arial" w:hAnsi="Arial"/>
          <w:b/>
          <w:bCs/>
          <w:color w:val="64748B"/>
          <w:sz w:val="20"/>
          <w:szCs w:val="20"/>
        </w:rPr>
        <w:t xml:space="preserve">Tipo: </w:t>
      </w:r>
      <w:r>
        <w:rPr>
          <w:rFonts w:ascii="Arial" w:cs="Arial" w:eastAsia="Arial" w:hAnsi="Arial"/>
          <w:color w:val="64748B"/>
          <w:sz w:val="20"/>
          <w:szCs w:val="20"/>
        </w:rPr>
        <w:t xml:space="preserve">Documento Funcional — sin detalle técnico de implementación</w:t>
      </w:r>
    </w:p>
    <w:p>
      <w:pPr>
        <w:spacing w:after="100" w:before="80"/>
      </w:pPr>
      <w:r>
        <w:rPr>
          <w:rFonts w:ascii="Arial" w:cs="Arial" w:eastAsia="Arial" w:hAnsi="Arial"/>
          <w:b/>
          <w:bCs/>
          <w:color w:val="64748B"/>
          <w:sz w:val="20"/>
          <w:szCs w:val="20"/>
        </w:rPr>
        <w:t xml:space="preserve">Audiencia: </w:t>
      </w:r>
      <w:r>
        <w:rPr>
          <w:rFonts w:ascii="Arial" w:cs="Arial" w:eastAsia="Arial" w:hAnsi="Arial"/>
          <w:color w:val="64748B"/>
          <w:sz w:val="20"/>
          <w:szCs w:val="20"/>
        </w:rPr>
        <w:t xml:space="preserve">Equipo de producto, inversores, early adopters</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80"/>
              <w:left w:type="dxa" w:w="280"/>
              <w:bottom w:type="dxa" w:w="180"/>
              <w:right w:type="dxa" w:w="280"/>
            </w:tcMar>
          </w:tcPr>
          <w:p>
            <w:pPr>
              <w:spacing w:after="100" w:before="0"/>
            </w:pPr>
            <w:r>
              <w:rPr>
                <w:rFonts w:ascii="Arial" w:cs="Arial" w:eastAsia="Arial" w:hAnsi="Arial"/>
                <w:b/>
                <w:bCs/>
                <w:color w:val="64748B"/>
                <w:sz w:val="22"/>
                <w:szCs w:val="22"/>
              </w:rPr>
              <w:t xml:space="preserve">Sobre este documento</w:t>
            </w:r>
          </w:p>
          <w:p>
            <w:pPr>
              <w:spacing w:after="40" w:before="40"/>
            </w:pPr>
            <w:r>
              <w:rPr>
                <w:rFonts w:ascii="Arial" w:cs="Arial" w:eastAsia="Arial" w:hAnsi="Arial"/>
                <w:color w:val="111827"/>
                <w:sz w:val="20"/>
                <w:szCs w:val="20"/>
              </w:rPr>
              <w:t xml:space="preserve">Este documento describe QUÉ hace KnowTwin y CÓMO lo experimenta el usuario,</w:t>
            </w:r>
          </w:p>
          <w:p>
            <w:pPr>
              <w:spacing w:after="40" w:before="40"/>
            </w:pPr>
            <w:r>
              <w:rPr>
                <w:rFonts w:ascii="Arial" w:cs="Arial" w:eastAsia="Arial" w:hAnsi="Arial"/>
                <w:color w:val="111827"/>
                <w:sz w:val="20"/>
                <w:szCs w:val="20"/>
              </w:rPr>
              <w:t xml:space="preserve">no cómo se construye internamente. El detalle de arquitectura y stack tecnológico</w:t>
            </w:r>
          </w:p>
          <w:p>
            <w:pPr>
              <w:spacing w:after="40" w:before="40"/>
            </w:pPr>
            <w:r>
              <w:rPr>
                <w:rFonts w:ascii="Arial" w:cs="Arial" w:eastAsia="Arial" w:hAnsi="Arial"/>
                <w:color w:val="111827"/>
                <w:sz w:val="20"/>
                <w:szCs w:val="20"/>
              </w:rPr>
              <w:t xml:space="preserve">se recoge en el documento técnico complementario.</w:t>
            </w:r>
          </w:p>
        </w:tc>
      </w:tr>
    </w:tbl>
    <w:p>
      <w:r>
        <w:br w:type="page"/>
      </w:r>
    </w:p>
    <w:p>
      <w:pPr>
        <w:pStyle w:val="Heading1"/>
        <w:pBdr>
          <w:bottom w:val="single" w:color="2563EB" w:sz="8" w:space="6"/>
        </w:pBdr>
        <w:spacing w:after="200" w:before="360"/>
      </w:pPr>
      <w:r>
        <w:rPr>
          <w:rFonts w:ascii="Arial" w:cs="Arial" w:eastAsia="Arial" w:hAnsi="Arial"/>
          <w:b/>
          <w:bCs/>
          <w:color w:val="1B2F4E"/>
          <w:sz w:val="36"/>
          <w:szCs w:val="36"/>
        </w:rPr>
        <w:t xml:space="preserve">1. Visión del Producto</w:t>
      </w:r>
    </w:p>
    <w:p>
      <w:pPr>
        <w:spacing w:after="100" w:before="80"/>
      </w:pPr>
      <w:r>
        <w:rPr>
          <w:rFonts w:ascii="Arial" w:cs="Arial" w:eastAsia="Arial" w:hAnsi="Arial"/>
          <w:color w:val="111827"/>
          <w:sz w:val="22"/>
          <w:szCs w:val="22"/>
        </w:rPr>
        <w:t xml:space="preserve">Cuando un empleado se va de una empresa, se lleva consigo algo que no está escrito en ningún documento: el contexto de por qué las cosas son como son. Por qué ese cliente prefiere que le llamen los jueves. Por qué el proyecto usa esa arquitectura y no la otra. A quién hay que llamar cuando falla el entorno de producción. Este conocimiento tácito es el más valioso y el más frágil.</w:t>
      </w:r>
    </w:p>
    <w:p>
      <w:r>
        <w:rPr>
          <w:sz w:val="12"/>
          <w:szCs w:val="12"/>
        </w:rPr>
        <w:t xml:space="preserve"/>
      </w:r>
    </w:p>
    <w:p>
      <w:pPr>
        <w:spacing w:after="100" w:before="80"/>
      </w:pPr>
      <w:r>
        <w:rPr>
          <w:rFonts w:ascii="Arial" w:cs="Arial" w:eastAsia="Arial" w:hAnsi="Arial"/>
          <w:color w:val="111827"/>
          <w:sz w:val="22"/>
          <w:szCs w:val="22"/>
        </w:rPr>
        <w:t xml:space="preserve">KnowTwin captura ese conocimiento antes de que desaparezca. Lo hace combinando dos fuentes: los documentos que el empleado ha generado durante toda su trayectoria, y un proceso de entrevistas guiadas por IA que extrae lo que los documentos no capturan. El resultado es un gemelo digital del empleado: un asistente conversacional que cualquier persona del equipo puede consultar como si el empleado aún estuviera allí.</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80"/>
              <w:left w:type="dxa" w:w="280"/>
              <w:bottom w:type="dxa" w:w="180"/>
              <w:right w:type="dxa" w:w="280"/>
            </w:tcMar>
          </w:tcPr>
          <w:p>
            <w:pPr>
              <w:spacing w:after="100" w:before="0"/>
            </w:pPr>
            <w:r>
              <w:rPr>
                <w:rFonts w:ascii="Arial" w:cs="Arial" w:eastAsia="Arial" w:hAnsi="Arial"/>
                <w:b/>
                <w:bCs/>
                <w:color w:val="2563EB"/>
                <w:sz w:val="22"/>
                <w:szCs w:val="22"/>
              </w:rPr>
              <w:t xml:space="preserve">En una frase</w:t>
            </w:r>
          </w:p>
          <w:p>
            <w:pPr>
              <w:spacing w:after="40" w:before="40"/>
            </w:pPr>
            <w:r>
              <w:rPr>
                <w:rFonts w:ascii="Arial" w:cs="Arial" w:eastAsia="Arial" w:hAnsi="Arial"/>
                <w:color w:val="111827"/>
                <w:sz w:val="20"/>
                <w:szCs w:val="20"/>
              </w:rPr>
              <w:t xml:space="preserve">"Cuando alguien anuncia que se va, tienes semanas para capturar décadas de conocimiento.</w:t>
            </w:r>
          </w:p>
          <w:p>
            <w:pPr>
              <w:spacing w:after="40" w:before="40"/>
            </w:pPr>
            <w:r>
              <w:rPr>
                <w:rFonts w:ascii="Arial" w:cs="Arial" w:eastAsia="Arial" w:hAnsi="Arial"/>
                <w:color w:val="111827"/>
                <w:sz w:val="20"/>
                <w:szCs w:val="20"/>
              </w:rPr>
              <w:t xml:space="preserve"> KnowTwin convierte ese proceso en algo sistemático, natural y permanente."</w:t>
            </w:r>
          </w:p>
        </w:tc>
      </w:tr>
    </w:tbl>
    <w:p>
      <w:r>
        <w:rPr>
          <w:sz w:val="12"/>
          <w:szCs w:val="12"/>
        </w:rPr>
        <w:t xml:space="preserve"/>
      </w:r>
    </w:p>
    <w:p>
      <w:r>
        <w:br w:type="page"/>
      </w:r>
    </w:p>
    <w:p>
      <w:pPr>
        <w:pStyle w:val="Heading1"/>
        <w:pBdr>
          <w:bottom w:val="single" w:color="2563EB" w:sz="8" w:space="6"/>
        </w:pBdr>
        <w:spacing w:after="200" w:before="360"/>
      </w:pPr>
      <w:r>
        <w:rPr>
          <w:rFonts w:ascii="Arial" w:cs="Arial" w:eastAsia="Arial" w:hAnsi="Arial"/>
          <w:b/>
          <w:bCs/>
          <w:color w:val="1B2F4E"/>
          <w:sz w:val="36"/>
          <w:szCs w:val="36"/>
        </w:rPr>
        <w:t xml:space="preserve">2. El Caso de Uso del MVP</w:t>
      </w:r>
    </w:p>
    <w:p>
      <w:pPr>
        <w:pStyle w:val="Heading2"/>
        <w:spacing w:after="140" w:before="280"/>
      </w:pPr>
      <w:r>
        <w:rPr>
          <w:rFonts w:ascii="Arial" w:cs="Arial" w:eastAsia="Arial" w:hAnsi="Arial"/>
          <w:b/>
          <w:bCs/>
          <w:color w:val="1B2F4E"/>
          <w:sz w:val="28"/>
          <w:szCs w:val="28"/>
        </w:rPr>
        <w:t xml:space="preserve">El perfil: Technical Manager en consultoría</w:t>
      </w:r>
    </w:p>
    <w:p>
      <w:pPr>
        <w:spacing w:after="100" w:before="80"/>
      </w:pPr>
      <w:r>
        <w:rPr>
          <w:rFonts w:ascii="Arial" w:cs="Arial" w:eastAsia="Arial" w:hAnsi="Arial"/>
          <w:color w:val="111827"/>
          <w:sz w:val="22"/>
          <w:szCs w:val="22"/>
        </w:rPr>
        <w:t xml:space="preserve">El MVP se centra en el offboarding de un </w:t>
      </w:r>
      <w:r>
        <w:rPr>
          <w:rFonts w:ascii="Arial" w:cs="Arial" w:eastAsia="Arial" w:hAnsi="Arial"/>
          <w:b/>
          <w:bCs/>
          <w:color w:val="111827"/>
          <w:sz w:val="22"/>
          <w:szCs w:val="22"/>
        </w:rPr>
        <w:t xml:space="preserve">technical manager en una firma de consultoría</w:t>
      </w:r>
      <w:r>
        <w:rPr>
          <w:rFonts w:ascii="Arial" w:cs="Arial" w:eastAsia="Arial" w:hAnsi="Arial"/>
          <w:color w:val="111827"/>
          <w:sz w:val="22"/>
          <w:szCs w:val="22"/>
        </w:rPr>
        <w:t xml:space="preserve">: alguien que lleva años en la empresa, gestiona cuentas de cliente, lidera proyectos técnicamente complejos y es el nodo de conexión entre el cliente, el equipo y la entrega.</w:t>
      </w:r>
    </w:p>
    <w:p>
      <w:r>
        <w:rPr>
          <w:sz w:val="12"/>
          <w:szCs w:val="12"/>
        </w:rPr>
        <w:t xml:space="preserve"/>
      </w:r>
    </w:p>
    <w:p>
      <w:pPr>
        <w:spacing w:after="100" w:before="80"/>
      </w:pPr>
      <w:r>
        <w:rPr>
          <w:rFonts w:ascii="Arial" w:cs="Arial" w:eastAsia="Arial" w:hAnsi="Arial"/>
          <w:color w:val="111827"/>
          <w:sz w:val="22"/>
          <w:szCs w:val="22"/>
        </w:rPr>
        <w:t xml:space="preserve">Este perfil concentra tres capas de conocimiento que son difíciles de documentar y muy costosas de perder:</w:t>
      </w:r>
    </w:p>
    <w:p>
      <w:r>
        <w:rPr>
          <w:sz w:val="12"/>
          <w:szCs w:val="12"/>
        </w:rPr>
        <w:t xml:space="preserve"/>
      </w:r>
    </w:p>
    <w:p>
      <w:pPr>
        <w:pStyle w:val="ListParagraph"/>
        <w:numPr>
          <w:ilvl w:val="0"/>
          <w:numId w:val="2"/>
        </w:numPr>
        <w:spacing w:after="60" w:before="60"/>
      </w:pPr>
      <w:r>
        <w:rPr>
          <w:rFonts w:ascii="Arial" w:cs="Arial" w:eastAsia="Arial" w:hAnsi="Arial"/>
          <w:b/>
          <w:bCs/>
          <w:color w:val="111827"/>
          <w:sz w:val="22"/>
          <w:szCs w:val="22"/>
        </w:rPr>
        <w:t xml:space="preserve">Conocimiento relacional: </w:t>
      </w:r>
      <w:r>
        <w:rPr>
          <w:rFonts w:ascii="Arial" w:cs="Arial" w:eastAsia="Arial" w:hAnsi="Arial"/>
          <w:color w:val="111827"/>
          <w:sz w:val="22"/>
          <w:szCs w:val="22"/>
        </w:rPr>
        <w:t xml:space="preserve">el contexto no escrito de cada cliente. Quién toma las decisiones reales, cuáles son sus miedos, cómo hay que comunicarles las malas noticias, qué compromisos se hicieron de forma informal.</w:t>
      </w:r>
    </w:p>
    <w:p>
      <w:pPr>
        <w:pStyle w:val="ListParagraph"/>
        <w:numPr>
          <w:ilvl w:val="0"/>
          <w:numId w:val="2"/>
        </w:numPr>
        <w:spacing w:after="60" w:before="60"/>
      </w:pPr>
      <w:r>
        <w:rPr>
          <w:rFonts w:ascii="Arial" w:cs="Arial" w:eastAsia="Arial" w:hAnsi="Arial"/>
          <w:b/>
          <w:bCs/>
          <w:color w:val="111827"/>
          <w:sz w:val="22"/>
          <w:szCs w:val="22"/>
        </w:rPr>
        <w:t xml:space="preserve">Conocimiento técnico: </w:t>
      </w:r>
      <w:r>
        <w:rPr>
          <w:rFonts w:ascii="Arial" w:cs="Arial" w:eastAsia="Arial" w:hAnsi="Arial"/>
          <w:color w:val="111827"/>
          <w:sz w:val="22"/>
          <w:szCs w:val="22"/>
        </w:rPr>
        <w:t xml:space="preserve">por qué el sistema está construido como está. Las alternativas que se descartaron y por qué. La deuda técnica que nadie ha documentado. Los workarounds activos que no están en ningún ticket.</w:t>
      </w:r>
    </w:p>
    <w:p>
      <w:pPr>
        <w:pStyle w:val="ListParagraph"/>
        <w:numPr>
          <w:ilvl w:val="0"/>
          <w:numId w:val="2"/>
        </w:numPr>
        <w:spacing w:after="60" w:before="60"/>
      </w:pPr>
      <w:r>
        <w:rPr>
          <w:rFonts w:ascii="Arial" w:cs="Arial" w:eastAsia="Arial" w:hAnsi="Arial"/>
          <w:b/>
          <w:bCs/>
          <w:color w:val="111827"/>
          <w:sz w:val="22"/>
          <w:szCs w:val="22"/>
        </w:rPr>
        <w:t xml:space="preserve">Conocimiento operativo: </w:t>
      </w:r>
      <w:r>
        <w:rPr>
          <w:rFonts w:ascii="Arial" w:cs="Arial" w:eastAsia="Arial" w:hAnsi="Arial"/>
          <w:color w:val="111827"/>
          <w:sz w:val="22"/>
          <w:szCs w:val="22"/>
        </w:rPr>
        <w:t xml:space="preserve">cómo funciona el equipo en la práctica. Quién sabe de qué, cómo se toman las decisiones reales, qué procesos oficiales nadie sigue y cuáles son los que realmente funcionan.</w:t>
      </w:r>
    </w:p>
    <w:p>
      <w:r>
        <w:rPr>
          <w:sz w:val="12"/>
          <w:szCs w:val="12"/>
        </w:rPr>
        <w:t xml:space="preserve"/>
      </w:r>
    </w:p>
    <w:p>
      <w:pPr>
        <w:pStyle w:val="Heading2"/>
        <w:spacing w:after="140" w:before="280"/>
      </w:pPr>
      <w:r>
        <w:rPr>
          <w:rFonts w:ascii="Arial" w:cs="Arial" w:eastAsia="Arial" w:hAnsi="Arial"/>
          <w:b/>
          <w:bCs/>
          <w:color w:val="1B2F4E"/>
          <w:sz w:val="28"/>
          <w:szCs w:val="28"/>
        </w:rPr>
        <w:t xml:space="preserve">El momento: el aviso de salida</w:t>
      </w:r>
    </w:p>
    <w:p>
      <w:pPr>
        <w:spacing w:after="100" w:before="80"/>
      </w:pPr>
      <w:r>
        <w:rPr>
          <w:rFonts w:ascii="Arial" w:cs="Arial" w:eastAsia="Arial" w:hAnsi="Arial"/>
          <w:color w:val="111827"/>
          <w:sz w:val="22"/>
          <w:szCs w:val="22"/>
        </w:rPr>
        <w:t xml:space="preserve">El proceso de KnowTwin se activa cuando el empleado comunica su baja. En ese momento hay una ventana de entre dos y seis semanas —el período de preaviso— durante la cual el empleado todavía está disponible. Esa ventana es la oportunidad.</w:t>
      </w:r>
    </w:p>
    <w:p>
      <w:r>
        <w:rPr>
          <w:sz w:val="12"/>
          <w:szCs w:val="12"/>
        </w:rPr>
        <w:t xml:space="preserve"/>
      </w:r>
    </w:p>
    <w:p>
      <w:pPr>
        <w:spacing w:after="100" w:before="80"/>
      </w:pPr>
      <w:r>
        <w:rPr>
          <w:rFonts w:ascii="Arial" w:cs="Arial" w:eastAsia="Arial" w:hAnsi="Arial"/>
          <w:color w:val="111827"/>
          <w:sz w:val="22"/>
          <w:szCs w:val="22"/>
        </w:rPr>
        <w:t xml:space="preserve">La plataforma da al empleado acceso a sus fuentes de conocimiento —documentos, correos, proyectos— y activa el pipeline de entrevistas. No se le pide que rellene formularios ni que escriba manuales. Se le propone una conversación estructurada, en el canal que prefiera (texto o voz), en sesiones de 45 minutos que él puede programar cuando quiera dentro del período de preaviso.</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3C7" w:val="clear"/>
            <w:tcMar>
              <w:top w:type="dxa" w:w="180"/>
              <w:left w:type="dxa" w:w="280"/>
              <w:bottom w:type="dxa" w:w="180"/>
              <w:right w:type="dxa" w:w="280"/>
            </w:tcMar>
          </w:tcPr>
          <w:p>
            <w:pPr>
              <w:spacing w:after="100" w:before="0"/>
            </w:pPr>
            <w:r>
              <w:rPr>
                <w:rFonts w:ascii="Arial" w:cs="Arial" w:eastAsia="Arial" w:hAnsi="Arial"/>
                <w:b/>
                <w:bCs/>
                <w:color w:val="92400E"/>
                <w:sz w:val="22"/>
                <w:szCs w:val="22"/>
              </w:rPr>
              <w:t xml:space="preserve">¿Por qué el empleado participa?</w:t>
            </w:r>
          </w:p>
          <w:p>
            <w:pPr>
              <w:spacing w:after="40" w:before="40"/>
            </w:pPr>
            <w:r>
              <w:rPr>
                <w:rFonts w:ascii="Arial" w:cs="Arial" w:eastAsia="Arial" w:hAnsi="Arial"/>
                <w:color w:val="111827"/>
                <w:sz w:val="20"/>
                <w:szCs w:val="20"/>
              </w:rPr>
              <w:t xml:space="preserve">La motivación del empleado saliente no es trivial. KnowTwin lo resuelve de tres formas:</w:t>
            </w:r>
          </w:p>
          <w:p>
            <w:pPr>
              <w:spacing w:after="40" w:before="40"/>
            </w:pPr>
            <w:r>
              <w:rPr>
                <w:rFonts w:ascii="Arial" w:cs="Arial" w:eastAsia="Arial" w:hAnsi="Arial"/>
                <w:color w:val="111827"/>
                <w:sz w:val="20"/>
                <w:szCs w:val="20"/>
              </w:rPr>
              <w:t xml:space="preserve">① La empresa lo solicita formalmente como parte del proceso de offboarding — tiene peso institucional.</w:t>
            </w:r>
          </w:p>
          <w:p>
            <w:pPr>
              <w:spacing w:after="40" w:before="40"/>
            </w:pPr>
            <w:r>
              <w:rPr>
                <w:rFonts w:ascii="Arial" w:cs="Arial" w:eastAsia="Arial" w:hAnsi="Arial"/>
                <w:color w:val="111827"/>
                <w:sz w:val="20"/>
                <w:szCs w:val="20"/>
              </w:rPr>
              <w:t xml:space="preserve">② El empleado entiende que deja un legado profesional, no solo un documento de traspaso.</w:t>
            </w:r>
          </w:p>
          <w:p>
            <w:pPr>
              <w:spacing w:after="40" w:before="40"/>
            </w:pPr>
            <w:r>
              <w:rPr>
                <w:rFonts w:ascii="Arial" w:cs="Arial" w:eastAsia="Arial" w:hAnsi="Arial"/>
                <w:color w:val="111827"/>
                <w:sz w:val="20"/>
                <w:szCs w:val="20"/>
              </w:rPr>
              <w:t xml:space="preserve">③ El proceso es natural y conversacional, no burocrático. Hablar de tu trabajo no cuesta.</w:t>
            </w:r>
          </w:p>
        </w:tc>
      </w:tr>
    </w:tbl>
    <w:p>
      <w:r>
        <w:rPr>
          <w:sz w:val="12"/>
          <w:szCs w:val="12"/>
        </w:rPr>
        <w:t xml:space="preserve"/>
      </w:r>
    </w:p>
    <w:p>
      <w:r>
        <w:br w:type="page"/>
      </w:r>
    </w:p>
    <w:p>
      <w:pPr>
        <w:pStyle w:val="Heading1"/>
        <w:pBdr>
          <w:bottom w:val="single" w:color="2563EB" w:sz="8" w:space="6"/>
        </w:pBdr>
        <w:spacing w:after="200" w:before="360"/>
      </w:pPr>
      <w:r>
        <w:rPr>
          <w:rFonts w:ascii="Arial" w:cs="Arial" w:eastAsia="Arial" w:hAnsi="Arial"/>
          <w:b/>
          <w:bCs/>
          <w:color w:val="1B2F4E"/>
          <w:sz w:val="36"/>
          <w:szCs w:val="36"/>
        </w:rPr>
        <w:t xml:space="preserve">3. El Flujo de Experiencia</w:t>
      </w:r>
    </w:p>
    <w:p>
      <w:pPr>
        <w:pStyle w:val="Heading2"/>
        <w:spacing w:after="140" w:before="280"/>
      </w:pPr>
      <w:r>
        <w:rPr>
          <w:rFonts w:ascii="Arial" w:cs="Arial" w:eastAsia="Arial" w:hAnsi="Arial"/>
          <w:b/>
          <w:bCs/>
          <w:color w:val="1B2F4E"/>
          <w:sz w:val="28"/>
          <w:szCs w:val="28"/>
        </w:rPr>
        <w:t xml:space="preserve">Fase 1 — Alta y conexión de fuentes</w:t>
      </w:r>
    </w:p>
    <w:p>
      <w:pPr>
        <w:spacing w:after="100" w:before="80"/>
      </w:pPr>
      <w:r>
        <w:rPr>
          <w:rFonts w:ascii="Arial" w:cs="Arial" w:eastAsia="Arial" w:hAnsi="Arial"/>
          <w:color w:val="111827"/>
          <w:sz w:val="22"/>
          <w:szCs w:val="22"/>
        </w:rPr>
        <w:t xml:space="preserve">HR o el propio empleado crea su perfil en KnowTwin y conecta sus fuentes de conocimiento corporativas: carpetas de SharePoint, correo de Outlook, conversaciones de Teams, repositorios de código, sistema de tickets. El proceso es similar a conectar una aplicación a tu cuenta de Google: autorización con un clic, sin mover archivos.</w:t>
      </w:r>
    </w:p>
    <w:p>
      <w:r>
        <w:rPr>
          <w:sz w:val="12"/>
          <w:szCs w:val="12"/>
        </w:rPr>
        <w:t xml:space="preserve"/>
      </w:r>
    </w:p>
    <w:p>
      <w:pPr>
        <w:spacing w:after="100" w:before="80"/>
      </w:pPr>
      <w:r>
        <w:rPr>
          <w:rFonts w:ascii="Arial" w:cs="Arial" w:eastAsia="Arial" w:hAnsi="Arial"/>
          <w:color w:val="111827"/>
          <w:sz w:val="22"/>
          <w:szCs w:val="22"/>
        </w:rPr>
        <w:t xml:space="preserve">En paralelo —de forma invisible para el empleado— el sistema empieza a leer y procesar todo ese material. En pocas horas ya tiene una primera imagen del conocimiento documentado: qué clientes ha gestionado, qué proyectos ha liderado, qué tecnologías ha usado, qué decisiones técnicas hay rastro escrito. Este mapa inicial es el punto de partida del proceso de entrevistas.</w:t>
      </w:r>
    </w:p>
    <w:p>
      <w:r>
        <w:rPr>
          <w:sz w:val="12"/>
          <w:szCs w:val="12"/>
        </w:rPr>
        <w:t xml:space="preserve"/>
      </w:r>
    </w:p>
    <w:p>
      <w:pPr>
        <w:pStyle w:val="Heading2"/>
        <w:spacing w:after="140" w:before="280"/>
      </w:pPr>
      <w:r>
        <w:rPr>
          <w:rFonts w:ascii="Arial" w:cs="Arial" w:eastAsia="Arial" w:hAnsi="Arial"/>
          <w:b/>
          <w:bCs/>
          <w:color w:val="1B2F4E"/>
          <w:sz w:val="28"/>
          <w:szCs w:val="28"/>
        </w:rPr>
        <w:t xml:space="preserve">Fase 2 — El proceso de entrevistas</w:t>
      </w:r>
    </w:p>
    <w:p>
      <w:pPr>
        <w:spacing w:after="100" w:before="80"/>
      </w:pPr>
      <w:r>
        <w:rPr>
          <w:rFonts w:ascii="Arial" w:cs="Arial" w:eastAsia="Arial" w:hAnsi="Arial"/>
          <w:color w:val="111827"/>
          <w:sz w:val="22"/>
          <w:szCs w:val="22"/>
        </w:rPr>
        <w:t xml:space="preserve">Esta es la parte central del producto. El sistema detecta dónde está el conocimiento bien documentado y, sobre todo, dónde están los huecos: las áreas críticas sobre las que hay poco o ningún material escrito. Con esa información diseña un plan de sesiones personalizado.</w:t>
      </w:r>
    </w:p>
    <w:p>
      <w:r>
        <w:rPr>
          <w:sz w:val="12"/>
          <w:szCs w:val="12"/>
        </w:rPr>
        <w:t xml:space="preserve"/>
      </w:r>
    </w:p>
    <w:p>
      <w:pPr>
        <w:spacing w:after="100" w:before="80"/>
      </w:pPr>
      <w:r>
        <w:rPr>
          <w:rFonts w:ascii="Arial" w:cs="Arial" w:eastAsia="Arial" w:hAnsi="Arial"/>
          <w:color w:val="111827"/>
          <w:sz w:val="22"/>
          <w:szCs w:val="22"/>
        </w:rPr>
        <w:t xml:space="preserve">Cada sesión tiene un tema concreto —una cuenta de cliente, un proyecto específico, una decisión técnica relevante— y dura entre 30 y 45 minutos. El número de sesiones depende de la complejidad del perfil y del tiempo disponible, pero el sistema prioriza para que las más importantes ocurran primero.</w:t>
      </w:r>
    </w:p>
    <w:p>
      <w:r>
        <w:rPr>
          <w:sz w:val="12"/>
          <w:szCs w:val="12"/>
        </w:rPr>
        <w:t xml:space="preserve"/>
      </w:r>
    </w:p>
    <w:p>
      <w:pPr>
        <w:pStyle w:val="Heading2"/>
        <w:spacing w:after="140" w:before="280"/>
      </w:pPr>
      <w:r>
        <w:rPr>
          <w:rFonts w:ascii="Arial" w:cs="Arial" w:eastAsia="Arial" w:hAnsi="Arial"/>
          <w:b/>
          <w:bCs/>
          <w:color w:val="1B2F4E"/>
          <w:sz w:val="28"/>
          <w:szCs w:val="28"/>
        </w:rPr>
        <w:t xml:space="preserve">Fase 3 — Activación del gemelo</w:t>
      </w:r>
    </w:p>
    <w:p>
      <w:pPr>
        <w:spacing w:after="100" w:before="80"/>
      </w:pPr>
      <w:r>
        <w:rPr>
          <w:rFonts w:ascii="Arial" w:cs="Arial" w:eastAsia="Arial" w:hAnsi="Arial"/>
          <w:color w:val="111827"/>
          <w:sz w:val="22"/>
          <w:szCs w:val="22"/>
        </w:rPr>
        <w:t xml:space="preserve">Cuando el proceso de entrevistas concluye (o cuando llega el último día del empleado), el gemelo queda activo. Desde ese momento, cualquier persona con acceso puede hacerle preguntas en lenguaje natural y recibir respuestas que citan su fuente: "esto lo dijo Juan en la sesión del 12 de junio" o "esto está en la presentación de la cuenta de noviembre de 2024".</w:t>
      </w:r>
    </w:p>
    <w:p>
      <w:r>
        <w:rPr>
          <w:sz w:val="12"/>
          <w:szCs w:val="12"/>
        </w:rPr>
        <w:t xml:space="preserve"/>
      </w:r>
    </w:p>
    <w:p>
      <w:pPr>
        <w:spacing w:after="100" w:before="80"/>
      </w:pPr>
      <w:r>
        <w:rPr>
          <w:rFonts w:ascii="Arial" w:cs="Arial" w:eastAsia="Arial" w:hAnsi="Arial"/>
          <w:color w:val="111827"/>
          <w:sz w:val="22"/>
          <w:szCs w:val="22"/>
        </w:rPr>
        <w:t xml:space="preserve">El gemelo no es un chatbot genérico. Solo responde sobre el conocimiento de esa persona concreta. Si no tiene información suficiente sobre algo, lo dice. Si la tiene, da contexto, no solo hechos.</w:t>
      </w:r>
    </w:p>
    <w:p>
      <w:r>
        <w:rPr>
          <w:sz w:val="12"/>
          <w:szCs w:val="12"/>
        </w:rPr>
        <w:t xml:space="preserve"/>
      </w:r>
    </w:p>
    <w:p>
      <w:r>
        <w:br w:type="page"/>
      </w:r>
    </w:p>
    <w:p>
      <w:pPr>
        <w:pStyle w:val="Heading1"/>
        <w:pBdr>
          <w:bottom w:val="single" w:color="2563EB" w:sz="8" w:space="6"/>
        </w:pBdr>
        <w:spacing w:after="200" w:before="360"/>
      </w:pPr>
      <w:r>
        <w:rPr>
          <w:rFonts w:ascii="Arial" w:cs="Arial" w:eastAsia="Arial" w:hAnsi="Arial"/>
          <w:b/>
          <w:bCs/>
          <w:color w:val="1B2F4E"/>
          <w:sz w:val="36"/>
          <w:szCs w:val="36"/>
        </w:rPr>
        <w:t xml:space="preserve">4. El Loop de Entrevistas — Mecánica y Adaptación</w:t>
      </w:r>
    </w:p>
    <w:p>
      <w:pPr>
        <w:spacing w:after="100" w:before="80"/>
      </w:pPr>
      <w:r>
        <w:rPr>
          <w:rFonts w:ascii="Arial" w:cs="Arial" w:eastAsia="Arial" w:hAnsi="Arial"/>
          <w:color w:val="111827"/>
          <w:sz w:val="22"/>
          <w:szCs w:val="22"/>
        </w:rPr>
        <w:t xml:space="preserve">El proceso de entrevistas es el núcleo diferencial de KnowTwin. No es un cuestionario estático ni un conjunto de preguntas predefinidas. Es un agente de IA que conduce una conversación con el empleado, adapta cada pregunta a lo que ya sabe y a lo que acaba de escuchar, y sabe cuándo ha obtenido suficiente información sobre un tema para avanzar al siguiente.</w:t>
      </w:r>
    </w:p>
    <w:p>
      <w:r>
        <w:rPr>
          <w:sz w:val="12"/>
          <w:szCs w:val="12"/>
        </w:rPr>
        <w:t xml:space="preserve"/>
      </w:r>
    </w:p>
    <w:p>
      <w:pPr>
        <w:pStyle w:val="Heading2"/>
        <w:spacing w:after="140" w:before="280"/>
      </w:pPr>
      <w:r>
        <w:rPr>
          <w:rFonts w:ascii="Arial" w:cs="Arial" w:eastAsia="Arial" w:hAnsi="Arial"/>
          <w:b/>
          <w:bCs/>
          <w:color w:val="1B2F4E"/>
          <w:sz w:val="28"/>
          <w:szCs w:val="28"/>
        </w:rPr>
        <w:t xml:space="preserve">4.1 El punto de partida: el mapa de conocimiento</w:t>
      </w:r>
    </w:p>
    <w:p>
      <w:pPr>
        <w:spacing w:after="100" w:before="80"/>
      </w:pPr>
      <w:r>
        <w:rPr>
          <w:rFonts w:ascii="Arial" w:cs="Arial" w:eastAsia="Arial" w:hAnsi="Arial"/>
          <w:color w:val="111827"/>
          <w:sz w:val="22"/>
          <w:szCs w:val="22"/>
        </w:rPr>
        <w:t xml:space="preserve">Antes de la primera sesión, el sistema ya ha procesado todo el material documental del empleado y ha construido un mapa de su conocimiento. Este mapa identifica:</w:t>
      </w:r>
    </w:p>
    <w:p>
      <w:r>
        <w:rPr>
          <w:sz w:val="12"/>
          <w:szCs w:val="12"/>
        </w:rPr>
        <w:t xml:space="preserve"/>
      </w:r>
    </w:p>
    <w:p>
      <w:pPr>
        <w:pStyle w:val="ListParagraph"/>
        <w:numPr>
          <w:ilvl w:val="0"/>
          <w:numId w:val="2"/>
        </w:numPr>
        <w:spacing w:after="60" w:before="60"/>
      </w:pPr>
      <w:r>
        <w:rPr>
          <w:rFonts w:ascii="Arial" w:cs="Arial" w:eastAsia="Arial" w:hAnsi="Arial"/>
          <w:b/>
          <w:bCs/>
          <w:color w:val="111827"/>
          <w:sz w:val="22"/>
          <w:szCs w:val="22"/>
        </w:rPr>
        <w:t xml:space="preserve">Áreas bien cubiertas: </w:t>
      </w:r>
      <w:r>
        <w:rPr>
          <w:rFonts w:ascii="Arial" w:cs="Arial" w:eastAsia="Arial" w:hAnsi="Arial"/>
          <w:color w:val="111827"/>
          <w:sz w:val="22"/>
          <w:szCs w:val="22"/>
        </w:rPr>
        <w:t xml:space="preserve">temas sobre los que hay documentación abundante y reciente. El agente no preguntará sobre esto, o lo hará solo para confirmar matices.</w:t>
      </w:r>
    </w:p>
    <w:p>
      <w:pPr>
        <w:pStyle w:val="ListParagraph"/>
        <w:numPr>
          <w:ilvl w:val="0"/>
          <w:numId w:val="2"/>
        </w:numPr>
        <w:spacing w:after="60" w:before="60"/>
      </w:pPr>
      <w:r>
        <w:rPr>
          <w:rFonts w:ascii="Arial" w:cs="Arial" w:eastAsia="Arial" w:hAnsi="Arial"/>
          <w:b/>
          <w:bCs/>
          <w:color w:val="111827"/>
          <w:sz w:val="22"/>
          <w:szCs w:val="22"/>
        </w:rPr>
        <w:t xml:space="preserve">Áreas parcialmente cubiertas: </w:t>
      </w:r>
      <w:r>
        <w:rPr>
          <w:rFonts w:ascii="Arial" w:cs="Arial" w:eastAsia="Arial" w:hAnsi="Arial"/>
          <w:color w:val="111827"/>
          <w:sz w:val="22"/>
          <w:szCs w:val="22"/>
        </w:rPr>
        <w:t xml:space="preserve">temas presentes en los documentos pero con información incompleta o desactualizada.</w:t>
      </w:r>
    </w:p>
    <w:p>
      <w:pPr>
        <w:pStyle w:val="ListParagraph"/>
        <w:numPr>
          <w:ilvl w:val="0"/>
          <w:numId w:val="2"/>
        </w:numPr>
        <w:spacing w:after="60" w:before="60"/>
      </w:pPr>
      <w:r>
        <w:rPr>
          <w:rFonts w:ascii="Arial" w:cs="Arial" w:eastAsia="Arial" w:hAnsi="Arial"/>
          <w:b/>
          <w:bCs/>
          <w:color w:val="111827"/>
          <w:sz w:val="22"/>
          <w:szCs w:val="22"/>
        </w:rPr>
        <w:t xml:space="preserve">Áreas oscuras: </w:t>
      </w:r>
      <w:r>
        <w:rPr>
          <w:rFonts w:ascii="Arial" w:cs="Arial" w:eastAsia="Arial" w:hAnsi="Arial"/>
          <w:color w:val="111827"/>
          <w:sz w:val="22"/>
          <w:szCs w:val="22"/>
        </w:rPr>
        <w:t xml:space="preserve">temas que el sistema detecta como relevantes —porque aparecen mencionados pero no explicados— pero sobre los que no hay material suficiente. Aquí es donde el agente pone el foco.</w:t>
      </w:r>
    </w:p>
    <w:p>
      <w:r>
        <w:rPr>
          <w:sz w:val="12"/>
          <w:szCs w:val="12"/>
        </w:rPr>
        <w:t xml:space="preserve"/>
      </w:r>
    </w:p>
    <w:p>
      <w:pPr>
        <w:spacing w:after="100" w:before="80"/>
      </w:pPr>
      <w:r>
        <w:rPr>
          <w:rFonts w:ascii="Arial" w:cs="Arial" w:eastAsia="Arial" w:hAnsi="Arial"/>
          <w:color w:val="111827"/>
          <w:sz w:val="22"/>
          <w:szCs w:val="22"/>
        </w:rPr>
        <w:t xml:space="preserve">El mapa también incluye una jerarquía de importancia: no todo el conocimiento vale igual. Los proyectos activos con un cliente estratégico tienen más prioridad que un proyecto cerrado hace tres años. Las decisiones técnicas que afectan a sistemas en producción tienen más prioridad que las que afectan a código ya descartado.</w:t>
      </w:r>
    </w:p>
    <w:p>
      <w:r>
        <w:rPr>
          <w:sz w:val="12"/>
          <w:szCs w:val="12"/>
        </w:rPr>
        <w:t xml:space="preserve"/>
      </w:r>
    </w:p>
    <w:p>
      <w:pPr>
        <w:pStyle w:val="Heading2"/>
        <w:spacing w:after="140" w:before="280"/>
      </w:pPr>
      <w:r>
        <w:rPr>
          <w:rFonts w:ascii="Arial" w:cs="Arial" w:eastAsia="Arial" w:hAnsi="Arial"/>
          <w:b/>
          <w:bCs/>
          <w:color w:val="1B2F4E"/>
          <w:sz w:val="28"/>
          <w:szCs w:val="28"/>
        </w:rPr>
        <w:t xml:space="preserve">4.2 Estructura de una sesión</w:t>
      </w:r>
    </w:p>
    <w:p>
      <w:pPr>
        <w:spacing w:after="100" w:before="80"/>
      </w:pPr>
      <w:r>
        <w:rPr>
          <w:rFonts w:ascii="Arial" w:cs="Arial" w:eastAsia="Arial" w:hAnsi="Arial"/>
          <w:color w:val="111827"/>
          <w:sz w:val="22"/>
          <w:szCs w:val="22"/>
        </w:rPr>
        <w:t xml:space="preserve">Cada sesión sigue una estructura que el empleado no percibe como rígida, pero que el sistema ejecuta de forma precisa.</w:t>
      </w:r>
    </w:p>
    <w:p>
      <w:r>
        <w:rPr>
          <w:sz w:val="12"/>
          <w:szCs w:val="12"/>
        </w:rPr>
        <w:t xml:space="preserve"/>
      </w:r>
    </w:p>
    <w:p>
      <w:pPr>
        <w:spacing w:after="100" w:before="200"/>
      </w:pPr>
      <w:r>
        <w:rPr>
          <w:rFonts w:ascii="Arial" w:cs="Arial" w:eastAsia="Arial" w:hAnsi="Arial"/>
          <w:b/>
          <w:bCs/>
          <w:color w:val="2563EB"/>
          <w:sz w:val="24"/>
          <w:szCs w:val="24"/>
        </w:rPr>
        <w:t xml:space="preserve">Apertura contextualizada</w:t>
      </w:r>
    </w:p>
    <w:p>
      <w:pPr>
        <w:spacing w:after="100" w:before="80"/>
      </w:pPr>
      <w:r>
        <w:rPr>
          <w:rFonts w:ascii="Arial" w:cs="Arial" w:eastAsia="Arial" w:hAnsi="Arial"/>
          <w:color w:val="111827"/>
          <w:sz w:val="22"/>
          <w:szCs w:val="22"/>
        </w:rPr>
        <w:t xml:space="preserve">El agente no arranca con una pregunta genérica. Empieza reconociendo lo que ya sabe y señalando el hueco que quiere cubrir. Esto tiene dos efectos: demuestra que el sistema es inteligente (no pregunta lo que ya está documentado) y orienta al empleado inmediatamente sobre dónde va a ser útil su tiempo.</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2"/>
              <w:bottom w:val="none" w:color="FFFFFF" w:sz="0"/>
              <w:right w:val="none" w:color="FFFFFF" w:sz="0"/>
            </w:tcBorders>
            <w:shd w:fill="DBEAFE" w:val="clear"/>
            <w:tcMar>
              <w:top w:type="dxa" w:w="120"/>
              <w:left w:type="dxa" w:w="280"/>
              <w:bottom w:type="dxa" w:w="120"/>
              <w:right w:type="dxa" w:w="200"/>
            </w:tcMar>
          </w:tcPr>
          <w:p>
            <w:pPr>
              <w:spacing w:after="60" w:before="0"/>
            </w:pPr>
            <w:r>
              <w:rPr>
                <w:rFonts w:ascii="Arial" w:cs="Arial" w:eastAsia="Arial" w:hAnsi="Arial"/>
                <w:b/>
                <w:bCs/>
                <w:color w:val="2563EB"/>
                <w:sz w:val="19"/>
                <w:szCs w:val="19"/>
              </w:rPr>
              <w:t xml:space="preserve">KnowTwin</w:t>
            </w:r>
          </w:p>
          <w:p>
            <w:pPr>
              <w:spacing w:after="0" w:before="0"/>
            </w:pPr>
            <w:r>
              <w:rPr>
                <w:rFonts w:ascii="Arial" w:cs="Arial" w:eastAsia="Arial" w:hAnsi="Arial"/>
                <w:i w:val="false"/>
                <w:iCs w:val="false"/>
                <w:color w:val="111827"/>
                <w:sz w:val="20"/>
                <w:szCs w:val="20"/>
              </w:rPr>
              <w:t xml:space="preserve">He revisado tu documentación sobre la cuenta de Banco Norte. Veo que lleváis trabajando juntos desde 2022 y que el último proyecto fue la migración del sistema de pagos. Lo que tengo bien cubierto es el alcance técnico de ese proyecto. Lo que me falta es entender la relación con el equipo de dirección del banco: quiénes son los interlocutores reales, cómo funcionan las aprobaciones, qué contexto no está escrito en ninguna presentación.</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4748B" w:sz="12"/>
              <w:bottom w:val="none" w:color="FFFFFF" w:sz="0"/>
              <w:right w:val="none" w:color="FFFFFF" w:sz="0"/>
            </w:tcBorders>
            <w:shd w:fill="F1F5F9" w:val="clear"/>
            <w:tcMar>
              <w:top w:type="dxa" w:w="120"/>
              <w:left w:type="dxa" w:w="280"/>
              <w:bottom w:type="dxa" w:w="120"/>
              <w:right w:type="dxa" w:w="200"/>
            </w:tcMar>
          </w:tcPr>
          <w:p>
            <w:pPr>
              <w:spacing w:after="60" w:before="0"/>
            </w:pPr>
            <w:r>
              <w:rPr>
                <w:rFonts w:ascii="Arial" w:cs="Arial" w:eastAsia="Arial" w:hAnsi="Arial"/>
                <w:b/>
                <w:bCs/>
                <w:color w:val="64748B"/>
                <w:sz w:val="19"/>
                <w:szCs w:val="19"/>
              </w:rPr>
              <w:t xml:space="preserve">Empleado</w:t>
            </w:r>
          </w:p>
          <w:p>
            <w:pPr>
              <w:spacing w:after="0" w:before="0"/>
            </w:pPr>
            <w:r>
              <w:rPr>
                <w:rFonts w:ascii="Arial" w:cs="Arial" w:eastAsia="Arial" w:hAnsi="Arial"/>
                <w:i/>
                <w:iCs/>
                <w:color w:val="111827"/>
                <w:sz w:val="20"/>
                <w:szCs w:val="20"/>
              </w:rPr>
              <w:t xml:space="preserve">Claro. El interlocutor oficial es el CTO, pero la persona que realmente decide es la directora de Operaciones, Elena Ros. Ella es quien tiene el peso en el comité de inversión. Hay que tenerla informada antes de cualquier reunión formal, o las cosas se complican.</w:t>
            </w:r>
          </w:p>
        </w:tc>
      </w:tr>
    </w:tbl>
    <w:p>
      <w:r>
        <w:rPr>
          <w:sz w:val="12"/>
          <w:szCs w:val="12"/>
        </w:rPr>
        <w:t xml:space="preserve"/>
      </w:r>
    </w:p>
    <w:p>
      <w:pPr>
        <w:spacing w:after="100" w:before="200"/>
      </w:pPr>
      <w:r>
        <w:rPr>
          <w:rFonts w:ascii="Arial" w:cs="Arial" w:eastAsia="Arial" w:hAnsi="Arial"/>
          <w:b/>
          <w:bCs/>
          <w:color w:val="2563EB"/>
          <w:sz w:val="24"/>
          <w:szCs w:val="24"/>
        </w:rPr>
        <w:t xml:space="preserve">Seguimiento adaptativo</w:t>
      </w:r>
    </w:p>
    <w:p>
      <w:pPr>
        <w:spacing w:after="100" w:before="80"/>
      </w:pPr>
      <w:r>
        <w:rPr>
          <w:rFonts w:ascii="Arial" w:cs="Arial" w:eastAsia="Arial" w:hAnsi="Arial"/>
          <w:color w:val="111827"/>
          <w:sz w:val="22"/>
          <w:szCs w:val="22"/>
        </w:rPr>
        <w:t xml:space="preserve">Cuando el empleado introduce información nueva —una persona que el sistema no conocía, un riesgo no documentado, una decisión cuyo contexto no estaba claro— el agente lo detecta y profundiza antes de cambiar de tema. No deja hilo suelto si este tiene valor.</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2"/>
              <w:bottom w:val="none" w:color="FFFFFF" w:sz="0"/>
              <w:right w:val="none" w:color="FFFFFF" w:sz="0"/>
            </w:tcBorders>
            <w:shd w:fill="DBEAFE" w:val="clear"/>
            <w:tcMar>
              <w:top w:type="dxa" w:w="120"/>
              <w:left w:type="dxa" w:w="280"/>
              <w:bottom w:type="dxa" w:w="120"/>
              <w:right w:type="dxa" w:w="200"/>
            </w:tcMar>
          </w:tcPr>
          <w:p>
            <w:pPr>
              <w:spacing w:after="60" w:before="0"/>
            </w:pPr>
            <w:r>
              <w:rPr>
                <w:rFonts w:ascii="Arial" w:cs="Arial" w:eastAsia="Arial" w:hAnsi="Arial"/>
                <w:b/>
                <w:bCs/>
                <w:color w:val="2563EB"/>
                <w:sz w:val="19"/>
                <w:szCs w:val="19"/>
              </w:rPr>
              <w:t xml:space="preserve">KnowTwin</w:t>
            </w:r>
          </w:p>
          <w:p>
            <w:pPr>
              <w:spacing w:after="0" w:before="0"/>
            </w:pPr>
            <w:r>
              <w:rPr>
                <w:rFonts w:ascii="Arial" w:cs="Arial" w:eastAsia="Arial" w:hAnsi="Arial"/>
                <w:i w:val="false"/>
                <w:iCs w:val="false"/>
                <w:color w:val="111827"/>
                <w:sz w:val="20"/>
                <w:szCs w:val="20"/>
              </w:rPr>
              <w:t xml:space="preserve">Entendido. Apunto a Elena Ros como contacto clave de decisión. Mencionas que 'las cosas se complican' si no se la informa antes. ¿Puedes darme un ejemplo concreto de qué ocurre? Eso ayudará a quien te sustituya a entender el por qué, no solo el qué.</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4748B" w:sz="12"/>
              <w:bottom w:val="none" w:color="FFFFFF" w:sz="0"/>
              <w:right w:val="none" w:color="FFFFFF" w:sz="0"/>
            </w:tcBorders>
            <w:shd w:fill="F1F5F9" w:val="clear"/>
            <w:tcMar>
              <w:top w:type="dxa" w:w="120"/>
              <w:left w:type="dxa" w:w="280"/>
              <w:bottom w:type="dxa" w:w="120"/>
              <w:right w:type="dxa" w:w="200"/>
            </w:tcMar>
          </w:tcPr>
          <w:p>
            <w:pPr>
              <w:spacing w:after="60" w:before="0"/>
            </w:pPr>
            <w:r>
              <w:rPr>
                <w:rFonts w:ascii="Arial" w:cs="Arial" w:eastAsia="Arial" w:hAnsi="Arial"/>
                <w:b/>
                <w:bCs/>
                <w:color w:val="64748B"/>
                <w:sz w:val="19"/>
                <w:szCs w:val="19"/>
              </w:rPr>
              <w:t xml:space="preserve">Empleado</w:t>
            </w:r>
          </w:p>
          <w:p>
            <w:pPr>
              <w:spacing w:after="0" w:before="0"/>
            </w:pPr>
            <w:r>
              <w:rPr>
                <w:rFonts w:ascii="Arial" w:cs="Arial" w:eastAsia="Arial" w:hAnsi="Arial"/>
                <w:i/>
                <w:iCs/>
                <w:color w:val="111827"/>
                <w:sz w:val="20"/>
                <w:szCs w:val="20"/>
              </w:rPr>
              <w:t xml:space="preserve">Sí, hace un año presentamos una propuesta de ampliación de contrato directamente al CTO sin haber pasado antes por ella. La reunión fue bien, pero luego Elena bloqueó la aprobación durante dos meses hasta que pudimos sentarnos con ella. Desde entonces siempre hacemos un pre-brief informal con ella antes de cualquier comité.</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2"/>
              <w:bottom w:val="none" w:color="FFFFFF" w:sz="0"/>
              <w:right w:val="none" w:color="FFFFFF" w:sz="0"/>
            </w:tcBorders>
            <w:shd w:fill="DBEAFE" w:val="clear"/>
            <w:tcMar>
              <w:top w:type="dxa" w:w="120"/>
              <w:left w:type="dxa" w:w="280"/>
              <w:bottom w:type="dxa" w:w="120"/>
              <w:right w:type="dxa" w:w="200"/>
            </w:tcMar>
          </w:tcPr>
          <w:p>
            <w:pPr>
              <w:spacing w:after="60" w:before="0"/>
            </w:pPr>
            <w:r>
              <w:rPr>
                <w:rFonts w:ascii="Arial" w:cs="Arial" w:eastAsia="Arial" w:hAnsi="Arial"/>
                <w:b/>
                <w:bCs/>
                <w:color w:val="2563EB"/>
                <w:sz w:val="19"/>
                <w:szCs w:val="19"/>
              </w:rPr>
              <w:t xml:space="preserve">KnowTwin</w:t>
            </w:r>
          </w:p>
          <w:p>
            <w:pPr>
              <w:spacing w:after="0" w:before="0"/>
            </w:pPr>
            <w:r>
              <w:rPr>
                <w:rFonts w:ascii="Arial" w:cs="Arial" w:eastAsia="Arial" w:hAnsi="Arial"/>
                <w:i w:val="false"/>
                <w:iCs w:val="false"/>
                <w:color w:val="111827"/>
                <w:sz w:val="20"/>
                <w:szCs w:val="20"/>
              </w:rPr>
              <w:t xml:space="preserve">Perfecto, eso es exactamente el tipo de contexto que marca la diferencia. Lo registro junto a la cuenta. ¿Hay algún otro contacto en el banco cuya relación sea así de matizada, o Elena es el caso más relevante?</w:t>
            </w:r>
          </w:p>
        </w:tc>
      </w:tr>
    </w:tbl>
    <w:p>
      <w:r>
        <w:rPr>
          <w:sz w:val="12"/>
          <w:szCs w:val="12"/>
        </w:rPr>
        <w:t xml:space="preserve"/>
      </w:r>
    </w:p>
    <w:p>
      <w:pPr>
        <w:spacing w:after="100" w:before="200"/>
      </w:pPr>
      <w:r>
        <w:rPr>
          <w:rFonts w:ascii="Arial" w:cs="Arial" w:eastAsia="Arial" w:hAnsi="Arial"/>
          <w:b/>
          <w:bCs/>
          <w:color w:val="2563EB"/>
          <w:sz w:val="24"/>
          <w:szCs w:val="24"/>
        </w:rPr>
        <w:t xml:space="preserve">Cierre de tema y transición</w:t>
      </w:r>
    </w:p>
    <w:p>
      <w:pPr>
        <w:spacing w:after="100" w:before="80"/>
      </w:pPr>
      <w:r>
        <w:rPr>
          <w:rFonts w:ascii="Arial" w:cs="Arial" w:eastAsia="Arial" w:hAnsi="Arial"/>
          <w:color w:val="111827"/>
          <w:sz w:val="22"/>
          <w:szCs w:val="22"/>
        </w:rPr>
        <w:t xml:space="preserve">Cuando el agente considera que un tema tiene cobertura suficiente —porque el empleado ha dejado de aportar información nueva o ha confirmado que no hay más que añadir— señala el cierre y propone el siguiente foco. El empleado siempre tiene la opción de añadir algo antes de avanzar.</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2"/>
              <w:bottom w:val="none" w:color="FFFFFF" w:sz="0"/>
              <w:right w:val="none" w:color="FFFFFF" w:sz="0"/>
            </w:tcBorders>
            <w:shd w:fill="DBEAFE" w:val="clear"/>
            <w:tcMar>
              <w:top w:type="dxa" w:w="120"/>
              <w:left w:type="dxa" w:w="280"/>
              <w:bottom w:type="dxa" w:w="120"/>
              <w:right w:type="dxa" w:w="200"/>
            </w:tcMar>
          </w:tcPr>
          <w:p>
            <w:pPr>
              <w:spacing w:after="60" w:before="0"/>
            </w:pPr>
            <w:r>
              <w:rPr>
                <w:rFonts w:ascii="Arial" w:cs="Arial" w:eastAsia="Arial" w:hAnsi="Arial"/>
                <w:b/>
                <w:bCs/>
                <w:color w:val="2563EB"/>
                <w:sz w:val="19"/>
                <w:szCs w:val="19"/>
              </w:rPr>
              <w:t xml:space="preserve">KnowTwin</w:t>
            </w:r>
          </w:p>
          <w:p>
            <w:pPr>
              <w:spacing w:after="0" w:before="0"/>
            </w:pPr>
            <w:r>
              <w:rPr>
                <w:rFonts w:ascii="Arial" w:cs="Arial" w:eastAsia="Arial" w:hAnsi="Arial"/>
                <w:i w:val="false"/>
                <w:iCs w:val="false"/>
                <w:color w:val="111827"/>
                <w:sz w:val="20"/>
                <w:szCs w:val="20"/>
              </w:rPr>
              <w:t xml:space="preserve">Creo que tenemos una imagen bastante completa de la dinámica con Banco Norte. Antes de pasar al siguiente tema, ¿hay algo más sobre esta cuenta que consideres importante preservar y que no hayamos tocado?</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4748B" w:sz="12"/>
              <w:bottom w:val="none" w:color="FFFFFF" w:sz="0"/>
              <w:right w:val="none" w:color="FFFFFF" w:sz="0"/>
            </w:tcBorders>
            <w:shd w:fill="F1F5F9" w:val="clear"/>
            <w:tcMar>
              <w:top w:type="dxa" w:w="120"/>
              <w:left w:type="dxa" w:w="280"/>
              <w:bottom w:type="dxa" w:w="120"/>
              <w:right w:type="dxa" w:w="200"/>
            </w:tcMar>
          </w:tcPr>
          <w:p>
            <w:pPr>
              <w:spacing w:after="60" w:before="0"/>
            </w:pPr>
            <w:r>
              <w:rPr>
                <w:rFonts w:ascii="Arial" w:cs="Arial" w:eastAsia="Arial" w:hAnsi="Arial"/>
                <w:b/>
                <w:bCs/>
                <w:color w:val="64748B"/>
                <w:sz w:val="19"/>
                <w:szCs w:val="19"/>
              </w:rPr>
              <w:t xml:space="preserve">Empleado</w:t>
            </w:r>
          </w:p>
          <w:p>
            <w:pPr>
              <w:spacing w:after="0" w:before="0"/>
            </w:pPr>
            <w:r>
              <w:rPr>
                <w:rFonts w:ascii="Arial" w:cs="Arial" w:eastAsia="Arial" w:hAnsi="Arial"/>
                <w:i/>
                <w:iCs/>
                <w:color w:val="111827"/>
                <w:sz w:val="20"/>
                <w:szCs w:val="20"/>
              </w:rPr>
              <w:t xml:space="preserve">Sí, una cosa: hay un acuerdo informal de que nunca escalamos incidencias en producción los viernes por la tarde. Lo acordamos verbalmente con Elena después de un incidente que les arruinó un fin de semana. No está escrito en ningún sitio.</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2"/>
              <w:bottom w:val="none" w:color="FFFFFF" w:sz="0"/>
              <w:right w:val="none" w:color="FFFFFF" w:sz="0"/>
            </w:tcBorders>
            <w:shd w:fill="DBEAFE" w:val="clear"/>
            <w:tcMar>
              <w:top w:type="dxa" w:w="120"/>
              <w:left w:type="dxa" w:w="280"/>
              <w:bottom w:type="dxa" w:w="120"/>
              <w:right w:type="dxa" w:w="200"/>
            </w:tcMar>
          </w:tcPr>
          <w:p>
            <w:pPr>
              <w:spacing w:after="60" w:before="0"/>
            </w:pPr>
            <w:r>
              <w:rPr>
                <w:rFonts w:ascii="Arial" w:cs="Arial" w:eastAsia="Arial" w:hAnsi="Arial"/>
                <w:b/>
                <w:bCs/>
                <w:color w:val="2563EB"/>
                <w:sz w:val="19"/>
                <w:szCs w:val="19"/>
              </w:rPr>
              <w:t xml:space="preserve">KnowTwin</w:t>
            </w:r>
          </w:p>
          <w:p>
            <w:pPr>
              <w:spacing w:after="0" w:before="0"/>
            </w:pPr>
            <w:r>
              <w:rPr>
                <w:rFonts w:ascii="Arial" w:cs="Arial" w:eastAsia="Arial" w:hAnsi="Arial"/>
                <w:i w:val="false"/>
                <w:iCs w:val="false"/>
                <w:color w:val="111827"/>
                <w:sz w:val="20"/>
                <w:szCs w:val="20"/>
              </w:rPr>
              <w:t xml:space="preserve">Muy importante. Lo registro como acuerdo operativo informal vinculado a la cuenta. Este tipo de compromisos son exactamente lo que más se pierde cuando cambia el equipo. Pasamos ahora al proyecto de migración de pagos, donde veo algunas decisiones de arquitectura que me gustaría que me expliques.</w:t>
            </w:r>
          </w:p>
        </w:tc>
      </w:tr>
    </w:tbl>
    <w:p>
      <w:r>
        <w:rPr>
          <w:sz w:val="12"/>
          <w:szCs w:val="12"/>
        </w:rPr>
        <w:t xml:space="preserve"/>
      </w:r>
    </w:p>
    <w:p>
      <w:pPr>
        <w:pStyle w:val="Heading2"/>
        <w:spacing w:after="140" w:before="280"/>
      </w:pPr>
      <w:r>
        <w:rPr>
          <w:rFonts w:ascii="Arial" w:cs="Arial" w:eastAsia="Arial" w:hAnsi="Arial"/>
          <w:b/>
          <w:bCs/>
          <w:color w:val="1B2F4E"/>
          <w:sz w:val="28"/>
          <w:szCs w:val="28"/>
        </w:rPr>
        <w:t xml:space="preserve">4.3 Adaptación al perfil del empleado</w:t>
      </w:r>
    </w:p>
    <w:p>
      <w:pPr>
        <w:spacing w:after="100" w:before="80"/>
      </w:pPr>
      <w:r>
        <w:rPr>
          <w:rFonts w:ascii="Arial" w:cs="Arial" w:eastAsia="Arial" w:hAnsi="Arial"/>
          <w:color w:val="111827"/>
          <w:sz w:val="22"/>
          <w:szCs w:val="22"/>
        </w:rPr>
        <w:t xml:space="preserve">El agente no usa el mismo estilo de conversación con todos los empleados. Se adapta progresivamente a lo largo de las sesiones basándose en dos tipos de señales:</w:t>
      </w:r>
    </w:p>
    <w:p>
      <w:r>
        <w:rPr>
          <w:sz w:val="12"/>
          <w:szCs w:val="12"/>
        </w:rPr>
        <w:t xml:space="preserve"/>
      </w:r>
    </w:p>
    <w:p>
      <w:pPr>
        <w:spacing w:after="100" w:before="200"/>
      </w:pPr>
      <w:r>
        <w:rPr>
          <w:rFonts w:ascii="Arial" w:cs="Arial" w:eastAsia="Arial" w:hAnsi="Arial"/>
          <w:b/>
          <w:bCs/>
          <w:color w:val="2563EB"/>
          <w:sz w:val="24"/>
          <w:szCs w:val="24"/>
        </w:rPr>
        <w:t xml:space="preserve">Señales del perfil estático</w:t>
      </w:r>
    </w:p>
    <w:p>
      <w:pPr>
        <w:spacing w:after="100" w:before="80"/>
      </w:pPr>
      <w:r>
        <w:rPr>
          <w:rFonts w:ascii="Arial" w:cs="Arial" w:eastAsia="Arial" w:hAnsi="Arial"/>
          <w:color w:val="111827"/>
          <w:sz w:val="22"/>
          <w:szCs w:val="22"/>
        </w:rPr>
        <w:t xml:space="preserve">Al inicio del proceso, el sistema conoce el rol, la antigüedad, el área de especialización y el tipo de trabajo del empleado. Esta información configura el punto de partida:</w:t>
      </w:r>
    </w:p>
    <w:p>
      <w:r>
        <w:rPr>
          <w:sz w:val="12"/>
          <w:szCs w:val="12"/>
        </w:rPr>
        <w:t xml:space="preserve"/>
      </w:r>
    </w:p>
    <w:p>
      <w:pPr>
        <w:pStyle w:val="ListParagraph"/>
        <w:numPr>
          <w:ilvl w:val="0"/>
          <w:numId w:val="2"/>
        </w:numPr>
        <w:spacing w:after="60" w:before="60"/>
      </w:pPr>
      <w:r>
        <w:rPr>
          <w:rFonts w:ascii="Arial" w:cs="Arial" w:eastAsia="Arial" w:hAnsi="Arial"/>
          <w:color w:val="111827"/>
          <w:sz w:val="22"/>
          <w:szCs w:val="22"/>
        </w:rPr>
        <w:t xml:space="preserve">Un empleado con perfil predominantemente técnico recibirá preguntas con mayor profundidad arquitectónica desde el principio: no solo "¿qué stack usásteis?" sino "¿qué alternativas considerásteis y por qué las descartásteis?"</w:t>
      </w:r>
    </w:p>
    <w:p>
      <w:pPr>
        <w:pStyle w:val="ListParagraph"/>
        <w:numPr>
          <w:ilvl w:val="0"/>
          <w:numId w:val="2"/>
        </w:numPr>
        <w:spacing w:after="60" w:before="60"/>
      </w:pPr>
      <w:r>
        <w:rPr>
          <w:rFonts w:ascii="Arial" w:cs="Arial" w:eastAsia="Arial" w:hAnsi="Arial"/>
          <w:color w:val="111827"/>
          <w:sz w:val="22"/>
          <w:szCs w:val="22"/>
        </w:rPr>
        <w:t xml:space="preserve">Un empleado con perfil predominantemente de gestión de cuentas recibirá más preguntas relacionales: dinámica con el cliente, personas clave, compromisos no formalizados.</w:t>
      </w:r>
    </w:p>
    <w:p>
      <w:pPr>
        <w:pStyle w:val="ListParagraph"/>
        <w:numPr>
          <w:ilvl w:val="0"/>
          <w:numId w:val="2"/>
        </w:numPr>
        <w:spacing w:after="60" w:before="60"/>
      </w:pPr>
      <w:r>
        <w:rPr>
          <w:rFonts w:ascii="Arial" w:cs="Arial" w:eastAsia="Arial" w:hAnsi="Arial"/>
          <w:color w:val="111827"/>
          <w:sz w:val="22"/>
          <w:szCs w:val="22"/>
        </w:rPr>
        <w:t xml:space="preserve">Un perfil técnico-gestor como el del caso de uso MVP recibe ambas capas, empezando por la que el sistema detecta que está menos cubierta documentalmente.</w:t>
      </w:r>
    </w:p>
    <w:p>
      <w:r>
        <w:rPr>
          <w:sz w:val="12"/>
          <w:szCs w:val="12"/>
        </w:rPr>
        <w:t xml:space="preserve"/>
      </w:r>
    </w:p>
    <w:p>
      <w:pPr>
        <w:spacing w:after="100" w:before="200"/>
      </w:pPr>
      <w:r>
        <w:rPr>
          <w:rFonts w:ascii="Arial" w:cs="Arial" w:eastAsia="Arial" w:hAnsi="Arial"/>
          <w:b/>
          <w:bCs/>
          <w:color w:val="2563EB"/>
          <w:sz w:val="24"/>
          <w:szCs w:val="24"/>
        </w:rPr>
        <w:t xml:space="preserve">Señales del perfil dinámico</w:t>
      </w:r>
    </w:p>
    <w:p>
      <w:pPr>
        <w:spacing w:after="100" w:before="80"/>
      </w:pPr>
      <w:r>
        <w:rPr>
          <w:rFonts w:ascii="Arial" w:cs="Arial" w:eastAsia="Arial" w:hAnsi="Arial"/>
          <w:color w:val="111827"/>
          <w:sz w:val="22"/>
          <w:szCs w:val="22"/>
        </w:rPr>
        <w:t xml:space="preserve">A medida que avanzan las sesiones, el agente infiere patrones de comportamiento del propio empleado y ajusta su estilo:</w:t>
      </w:r>
    </w:p>
    <w:p>
      <w:r>
        <w:rPr>
          <w:sz w:val="12"/>
          <w:szCs w:val="12"/>
        </w:rPr>
        <w:t xml:space="preserve"/>
      </w:r>
    </w:p>
    <w:p>
      <w:pPr>
        <w:pStyle w:val="ListParagraph"/>
        <w:numPr>
          <w:ilvl w:val="0"/>
          <w:numId w:val="2"/>
        </w:numPr>
        <w:spacing w:after="60" w:before="60"/>
      </w:pPr>
      <w:r>
        <w:rPr>
          <w:rFonts w:ascii="Arial" w:cs="Arial" w:eastAsia="Arial" w:hAnsi="Arial"/>
          <w:b/>
          <w:bCs/>
          <w:color w:val="111827"/>
          <w:sz w:val="22"/>
          <w:szCs w:val="22"/>
        </w:rPr>
        <w:t xml:space="preserve">Estilo de respuesta: </w:t>
      </w:r>
      <w:r>
        <w:rPr>
          <w:rFonts w:ascii="Arial" w:cs="Arial" w:eastAsia="Arial" w:hAnsi="Arial"/>
          <w:color w:val="111827"/>
          <w:sz w:val="22"/>
          <w:szCs w:val="22"/>
        </w:rPr>
        <w:t xml:space="preserve">si el empleado da respuestas largas y detalladas, el agente hace preguntas más abiertas. Si el empleado es conciso, el agente hace preguntas más específicas y directas.</w:t>
      </w:r>
    </w:p>
    <w:p>
      <w:pPr>
        <w:pStyle w:val="ListParagraph"/>
        <w:numPr>
          <w:ilvl w:val="0"/>
          <w:numId w:val="2"/>
        </w:numPr>
        <w:spacing w:after="60" w:before="60"/>
      </w:pPr>
      <w:r>
        <w:rPr>
          <w:rFonts w:ascii="Arial" w:cs="Arial" w:eastAsia="Arial" w:hAnsi="Arial"/>
          <w:b/>
          <w:bCs/>
          <w:color w:val="111827"/>
          <w:sz w:val="22"/>
          <w:szCs w:val="22"/>
        </w:rPr>
        <w:t xml:space="preserve">Áreas de expertise espontáneo: </w:t>
      </w:r>
      <w:r>
        <w:rPr>
          <w:rFonts w:ascii="Arial" w:cs="Arial" w:eastAsia="Arial" w:hAnsi="Arial"/>
          <w:color w:val="111827"/>
          <w:sz w:val="22"/>
          <w:szCs w:val="22"/>
        </w:rPr>
        <w:t xml:space="preserve">cuando el empleado entra en detalle sin que se le pida, el agente sigue esa profundidad. Es señal de conocimiento valioso y de que el empleado tiene ganas de transmitirlo.</w:t>
      </w:r>
    </w:p>
    <w:p>
      <w:pPr>
        <w:pStyle w:val="ListParagraph"/>
        <w:numPr>
          <w:ilvl w:val="0"/>
          <w:numId w:val="2"/>
        </w:numPr>
        <w:spacing w:after="60" w:before="60"/>
      </w:pPr>
      <w:r>
        <w:rPr>
          <w:rFonts w:ascii="Arial" w:cs="Arial" w:eastAsia="Arial" w:hAnsi="Arial"/>
          <w:b/>
          <w:bCs/>
          <w:color w:val="111827"/>
          <w:sz w:val="22"/>
          <w:szCs w:val="22"/>
        </w:rPr>
        <w:t xml:space="preserve">Áreas de incomodidad o vaguedad: </w:t>
      </w:r>
      <w:r>
        <w:rPr>
          <w:rFonts w:ascii="Arial" w:cs="Arial" w:eastAsia="Arial" w:hAnsi="Arial"/>
          <w:color w:val="111827"/>
          <w:sz w:val="22"/>
          <w:szCs w:val="22"/>
        </w:rPr>
        <w:t xml:space="preserve">si el empleado es vago o evasivo en un tema, el agente no presiona, pero reformula desde otro ángulo. A veces la incomodidad es señal de conocimiento sensible que vale la pena capturar con tacto.</w:t>
      </w:r>
    </w:p>
    <w:p>
      <w:pPr>
        <w:pStyle w:val="ListParagraph"/>
        <w:numPr>
          <w:ilvl w:val="0"/>
          <w:numId w:val="2"/>
        </w:numPr>
        <w:spacing w:after="60" w:before="60"/>
      </w:pPr>
      <w:r>
        <w:rPr>
          <w:rFonts w:ascii="Arial" w:cs="Arial" w:eastAsia="Arial" w:hAnsi="Arial"/>
          <w:b/>
          <w:bCs/>
          <w:color w:val="111827"/>
          <w:sz w:val="22"/>
          <w:szCs w:val="22"/>
        </w:rPr>
        <w:t xml:space="preserve">Ritmo de fatiga: </w:t>
      </w:r>
      <w:r>
        <w:rPr>
          <w:rFonts w:ascii="Arial" w:cs="Arial" w:eastAsia="Arial" w:hAnsi="Arial"/>
          <w:color w:val="111827"/>
          <w:sz w:val="22"/>
          <w:szCs w:val="22"/>
        </w:rPr>
        <w:t xml:space="preserve">si las respuestas se acortan de forma sostenida durante la sesión, el agente acelera el cierre y propone retomar en la siguiente.</w:t>
      </w:r>
    </w:p>
    <w:p>
      <w:r>
        <w:rPr>
          <w:sz w:val="12"/>
          <w:szCs w:val="12"/>
        </w:rPr>
        <w:t xml:space="preserve"/>
      </w:r>
    </w:p>
    <w:p>
      <w:pPr>
        <w:pStyle w:val="Heading2"/>
        <w:spacing w:after="140" w:before="280"/>
      </w:pPr>
      <w:r>
        <w:rPr>
          <w:rFonts w:ascii="Arial" w:cs="Arial" w:eastAsia="Arial" w:hAnsi="Arial"/>
          <w:b/>
          <w:bCs/>
          <w:color w:val="1B2F4E"/>
          <w:sz w:val="28"/>
          <w:szCs w:val="28"/>
        </w:rPr>
        <w:t xml:space="preserve">4.4 Cómo converge el sistema — el criterio de completitud</w:t>
      </w:r>
    </w:p>
    <w:p>
      <w:pPr>
        <w:spacing w:after="100" w:before="80"/>
      </w:pPr>
      <w:r>
        <w:rPr>
          <w:rFonts w:ascii="Arial" w:cs="Arial" w:eastAsia="Arial" w:hAnsi="Arial"/>
          <w:color w:val="111827"/>
          <w:sz w:val="22"/>
          <w:szCs w:val="22"/>
        </w:rPr>
        <w:t xml:space="preserve">El agente no pregunta indefinidamente. Tiene un modelo de cuándo un área de conocimiento está suficientemente cubierta y cuándo puede avanzar o cerrar el proceso. Esta convergencia opera en tres niveles:</w:t>
      </w:r>
    </w:p>
    <w:p>
      <w:r>
        <w:rPr>
          <w:sz w:val="12"/>
          <w:szCs w:val="12"/>
        </w:rPr>
        <w:t xml:space="preserve"/>
      </w:r>
    </w:p>
    <w:p>
      <w:pPr>
        <w:spacing w:after="100" w:before="200"/>
      </w:pPr>
      <w:r>
        <w:rPr>
          <w:rFonts w:ascii="Arial" w:cs="Arial" w:eastAsia="Arial" w:hAnsi="Arial"/>
          <w:b/>
          <w:bCs/>
          <w:color w:val="2563EB"/>
          <w:sz w:val="24"/>
          <w:szCs w:val="24"/>
        </w:rPr>
        <w:t xml:space="preserve">Nivel de tema (dentro de una sesión)</w:t>
      </w:r>
    </w:p>
    <w:p>
      <w:pPr>
        <w:spacing w:after="100" w:before="80"/>
      </w:pPr>
      <w:r>
        <w:rPr>
          <w:rFonts w:ascii="Arial" w:cs="Arial" w:eastAsia="Arial" w:hAnsi="Arial"/>
          <w:color w:val="111827"/>
          <w:sz w:val="22"/>
          <w:szCs w:val="22"/>
        </w:rPr>
        <w:t xml:space="preserve">Cada tema de la sesión tiene un objetivo de cobertura. El agente mide, en tiempo real, si las respuestas del empleado están añadiendo información nueva al mapa de conocimiento o si empiezan a repetir lo que el sistema ya tiene documentado. Cuando la nueva información por pregunta cae por debajo de un umbral —cuando el empleado ya ha dicho todo lo que tiene que decir sobre ese asunto— el agente cierra el tema.</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1FAE5" w:val="clear"/>
            <w:tcMar>
              <w:top w:type="dxa" w:w="180"/>
              <w:left w:type="dxa" w:w="280"/>
              <w:bottom w:type="dxa" w:w="180"/>
              <w:right w:type="dxa" w:w="280"/>
            </w:tcMar>
          </w:tcPr>
          <w:p>
            <w:pPr>
              <w:spacing w:after="100" w:before="0"/>
            </w:pPr>
            <w:r>
              <w:rPr>
                <w:rFonts w:ascii="Arial" w:cs="Arial" w:eastAsia="Arial" w:hAnsi="Arial"/>
                <w:b/>
                <w:bCs/>
                <w:color w:val="065F46"/>
                <w:sz w:val="22"/>
                <w:szCs w:val="22"/>
              </w:rPr>
              <w:t xml:space="preserve">Señal de convergencia en un tema</w:t>
            </w:r>
          </w:p>
          <w:p>
            <w:pPr>
              <w:spacing w:after="40" w:before="40"/>
            </w:pPr>
            <w:r>
              <w:rPr>
                <w:rFonts w:ascii="Arial" w:cs="Arial" w:eastAsia="Arial" w:hAnsi="Arial"/>
                <w:color w:val="111827"/>
                <w:sz w:val="20"/>
                <w:szCs w:val="20"/>
              </w:rPr>
              <w:t xml:space="preserve">El agente detecta convergencia cuando:</w:t>
            </w:r>
          </w:p>
          <w:p>
            <w:pPr>
              <w:spacing w:after="40" w:before="40"/>
            </w:pPr>
            <w:r>
              <w:rPr>
                <w:rFonts w:ascii="Arial" w:cs="Arial" w:eastAsia="Arial" w:hAnsi="Arial"/>
                <w:color w:val="111827"/>
                <w:sz w:val="20"/>
                <w:szCs w:val="20"/>
              </w:rPr>
              <w:t xml:space="preserve">①  Las últimas dos o tres respuestas no introducen nuevas personas, proyectos, decisiones o riesgos.</w:t>
            </w:r>
          </w:p>
          <w:p>
            <w:pPr>
              <w:spacing w:after="40" w:before="40"/>
            </w:pPr>
            <w:r>
              <w:rPr>
                <w:rFonts w:ascii="Arial" w:cs="Arial" w:eastAsia="Arial" w:hAnsi="Arial"/>
                <w:color w:val="111827"/>
                <w:sz w:val="20"/>
                <w:szCs w:val="20"/>
              </w:rPr>
              <w:t xml:space="preserve">②  El empleado confirma activamente que no hay más que añadir.</w:t>
            </w:r>
          </w:p>
          <w:p>
            <w:pPr>
              <w:spacing w:after="40" w:before="40"/>
            </w:pPr>
            <w:r>
              <w:rPr>
                <w:rFonts w:ascii="Arial" w:cs="Arial" w:eastAsia="Arial" w:hAnsi="Arial"/>
                <w:color w:val="111827"/>
                <w:sz w:val="20"/>
                <w:szCs w:val="20"/>
              </w:rPr>
              <w:t xml:space="preserve">③  La información recibida es consistente con lo que ya estaba documentado (confirma, no amplía).</w:t>
            </w:r>
          </w:p>
        </w:tc>
      </w:tr>
    </w:tbl>
    <w:p>
      <w:r>
        <w:rPr>
          <w:sz w:val="12"/>
          <w:szCs w:val="12"/>
        </w:rPr>
        <w:t xml:space="preserve"/>
      </w:r>
    </w:p>
    <w:p>
      <w:pPr>
        <w:spacing w:after="100" w:before="200"/>
      </w:pPr>
      <w:r>
        <w:rPr>
          <w:rFonts w:ascii="Arial" w:cs="Arial" w:eastAsia="Arial" w:hAnsi="Arial"/>
          <w:b/>
          <w:bCs/>
          <w:color w:val="2563EB"/>
          <w:sz w:val="24"/>
          <w:szCs w:val="24"/>
        </w:rPr>
        <w:t xml:space="preserve">Nivel de sesión</w:t>
      </w:r>
    </w:p>
    <w:p>
      <w:pPr>
        <w:spacing w:after="100" w:before="80"/>
      </w:pPr>
      <w:r>
        <w:rPr>
          <w:rFonts w:ascii="Arial" w:cs="Arial" w:eastAsia="Arial" w:hAnsi="Arial"/>
          <w:color w:val="111827"/>
          <w:sz w:val="22"/>
          <w:szCs w:val="22"/>
        </w:rPr>
        <w:t xml:space="preserve">Cada sesión tiene un presupuesto de tiempo (45 minutos) y un conjunto de temas priorizados. El agente gestiona el tiempo activamente: si un tema se extiende más de lo esperado porque está produciendo información muy valiosa, el agente lo nota y redistribuye el tiempo restante, dejando los temas menos prioritarios para la siguiente sesión.</w:t>
      </w:r>
    </w:p>
    <w:p>
      <w:r>
        <w:rPr>
          <w:sz w:val="12"/>
          <w:szCs w:val="12"/>
        </w:rPr>
        <w:t xml:space="preserve"/>
      </w:r>
    </w:p>
    <w:p>
      <w:pPr>
        <w:spacing w:after="100" w:before="200"/>
      </w:pPr>
      <w:r>
        <w:rPr>
          <w:rFonts w:ascii="Arial" w:cs="Arial" w:eastAsia="Arial" w:hAnsi="Arial"/>
          <w:b/>
          <w:bCs/>
          <w:color w:val="2563EB"/>
          <w:sz w:val="24"/>
          <w:szCs w:val="24"/>
        </w:rPr>
        <w:t xml:space="preserve">Nivel de proceso completo</w:t>
      </w:r>
    </w:p>
    <w:p>
      <w:pPr>
        <w:spacing w:after="100" w:before="80"/>
      </w:pPr>
      <w:r>
        <w:rPr>
          <w:rFonts w:ascii="Arial" w:cs="Arial" w:eastAsia="Arial" w:hAnsi="Arial"/>
          <w:color w:val="111827"/>
          <w:sz w:val="22"/>
          <w:szCs w:val="22"/>
        </w:rPr>
        <w:t xml:space="preserve">El proceso de entrevistas como un todo converge cuando todos los nodos de alta prioridad del mapa de conocimiento han alcanzado cobertura suficiente. El sistema muestra al empleado un indicador de progreso por área —cuánto del conocimiento relevante de cada cuenta, proyecto o dominio técnico se ha capturado— para que el empleado tenga visibilidad del impacto de su participación.</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3C7" w:val="clear"/>
            <w:tcMar>
              <w:top w:type="dxa" w:w="180"/>
              <w:left w:type="dxa" w:w="280"/>
              <w:bottom w:type="dxa" w:w="180"/>
              <w:right w:type="dxa" w:w="280"/>
            </w:tcMar>
          </w:tcPr>
          <w:p>
            <w:pPr>
              <w:spacing w:after="100" w:before="0"/>
            </w:pPr>
            <w:r>
              <w:rPr>
                <w:rFonts w:ascii="Arial" w:cs="Arial" w:eastAsia="Arial" w:hAnsi="Arial"/>
                <w:b/>
                <w:bCs/>
                <w:color w:val="92400E"/>
                <w:sz w:val="22"/>
                <w:szCs w:val="22"/>
              </w:rPr>
              <w:t xml:space="preserve">¿Qué pasa si el tiempo se acaba antes de completar el proceso?</w:t>
            </w:r>
          </w:p>
          <w:p>
            <w:pPr>
              <w:spacing w:after="40" w:before="40"/>
            </w:pPr>
            <w:r>
              <w:rPr>
                <w:rFonts w:ascii="Arial" w:cs="Arial" w:eastAsia="Arial" w:hAnsi="Arial"/>
                <w:color w:val="111827"/>
                <w:sz w:val="20"/>
                <w:szCs w:val="20"/>
              </w:rPr>
              <w:t xml:space="preserve">El sistema prioriza siempre. Si el empleado solo puede hacer dos sesiones, esas dos sesiones</w:t>
            </w:r>
          </w:p>
          <w:p>
            <w:pPr>
              <w:spacing w:after="40" w:before="40"/>
            </w:pPr>
            <w:r>
              <w:rPr>
                <w:rFonts w:ascii="Arial" w:cs="Arial" w:eastAsia="Arial" w:hAnsi="Arial"/>
                <w:color w:val="111827"/>
                <w:sz w:val="20"/>
                <w:szCs w:val="20"/>
              </w:rPr>
              <w:t xml:space="preserve">cubrirán los temas más críticos: los proyectos activos con clientes estratégicos y los riesgos</w:t>
            </w:r>
          </w:p>
          <w:p>
            <w:pPr>
              <w:spacing w:after="40" w:before="40"/>
            </w:pPr>
            <w:r>
              <w:rPr>
                <w:rFonts w:ascii="Arial" w:cs="Arial" w:eastAsia="Arial" w:hAnsi="Arial"/>
                <w:color w:val="111827"/>
                <w:sz w:val="20"/>
                <w:szCs w:val="20"/>
              </w:rPr>
              <w:t xml:space="preserve">silenciosos que nadie más conoce. Un gemelo parcial sigue siendo mucho más valioso que ninguno.</w:t>
            </w:r>
          </w:p>
        </w:tc>
      </w:tr>
    </w:tbl>
    <w:p>
      <w:r>
        <w:rPr>
          <w:sz w:val="12"/>
          <w:szCs w:val="12"/>
        </w:rPr>
        <w:t xml:space="preserve"/>
      </w:r>
    </w:p>
    <w:p>
      <w:pPr>
        <w:pStyle w:val="Heading2"/>
        <w:spacing w:after="140" w:before="280"/>
      </w:pPr>
      <w:r>
        <w:rPr>
          <w:rFonts w:ascii="Arial" w:cs="Arial" w:eastAsia="Arial" w:hAnsi="Arial"/>
          <w:b/>
          <w:bCs/>
          <w:color w:val="1B2F4E"/>
          <w:sz w:val="28"/>
          <w:szCs w:val="28"/>
        </w:rPr>
        <w:t xml:space="preserve">4.5 Continuidad entre sesiones</w:t>
      </w:r>
    </w:p>
    <w:p>
      <w:pPr>
        <w:spacing w:after="100" w:before="80"/>
      </w:pPr>
      <w:r>
        <w:rPr>
          <w:rFonts w:ascii="Arial" w:cs="Arial" w:eastAsia="Arial" w:hAnsi="Arial"/>
          <w:color w:val="111827"/>
          <w:sz w:val="22"/>
          <w:szCs w:val="22"/>
        </w:rPr>
        <w:t xml:space="preserve">Cada sesión enriquece el mapa de conocimiento, y ese mapa más completo informa el diseño de la siguiente sesión. El proceso no es una lista de preguntas que se ejecuta en orden: es un ciclo de aprendizaje que se actualiza en cada vuelta.</w:t>
      </w:r>
    </w:p>
    <w:p>
      <w:r>
        <w:rPr>
          <w:sz w:val="12"/>
          <w:szCs w:val="12"/>
        </w:rPr>
        <w:t xml:space="preserve"/>
      </w:r>
    </w:p>
    <w:p>
      <w:pPr>
        <w:spacing w:after="100" w:before="80"/>
      </w:pPr>
      <w:r>
        <w:rPr>
          <w:rFonts w:ascii="Arial" w:cs="Arial" w:eastAsia="Arial" w:hAnsi="Arial"/>
          <w:color w:val="111827"/>
          <w:sz w:val="22"/>
          <w:szCs w:val="22"/>
        </w:rPr>
        <w:t xml:space="preserve">Al inicio de cada sesión posterior a la primera, el agente hace referencia explícita a lo que se habló antes. Esto tiene dos efectos: genera sensación de continuidad y coherencia para el empleado, y permite profundizar en hilos que quedaron abiertos.</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2"/>
              <w:bottom w:val="none" w:color="FFFFFF" w:sz="0"/>
              <w:right w:val="none" w:color="FFFFFF" w:sz="0"/>
            </w:tcBorders>
            <w:shd w:fill="DBEAFE" w:val="clear"/>
            <w:tcMar>
              <w:top w:type="dxa" w:w="120"/>
              <w:left w:type="dxa" w:w="280"/>
              <w:bottom w:type="dxa" w:w="120"/>
              <w:right w:type="dxa" w:w="200"/>
            </w:tcMar>
          </w:tcPr>
          <w:p>
            <w:pPr>
              <w:spacing w:after="60" w:before="0"/>
            </w:pPr>
            <w:r>
              <w:rPr>
                <w:rFonts w:ascii="Arial" w:cs="Arial" w:eastAsia="Arial" w:hAnsi="Arial"/>
                <w:b/>
                <w:bCs/>
                <w:color w:val="2563EB"/>
                <w:sz w:val="19"/>
                <w:szCs w:val="19"/>
              </w:rPr>
              <w:t xml:space="preserve">KnowTwin</w:t>
            </w:r>
          </w:p>
          <w:p>
            <w:pPr>
              <w:spacing w:after="0" w:before="0"/>
            </w:pPr>
            <w:r>
              <w:rPr>
                <w:rFonts w:ascii="Arial" w:cs="Arial" w:eastAsia="Arial" w:hAnsi="Arial"/>
                <w:i w:val="false"/>
                <w:iCs w:val="false"/>
                <w:color w:val="111827"/>
                <w:sz w:val="20"/>
                <w:szCs w:val="20"/>
              </w:rPr>
              <w:t xml:space="preserve">En la sesión anterior hablamos de la cuenta de Banco Norte y de la importancia de Elena Ros como interlocutora real de decisión. Mencionaste también que el equipo de delivery en esa cuenta tiene una dinámica particular. Hoy me gustaría profundizar ahí, y también cubrir el proyecto de modernización del back-office que aparece en tus documentos pero sin mucho detalle.</w:t>
            </w:r>
          </w:p>
        </w:tc>
      </w:tr>
    </w:tbl>
    <w:p>
      <w:r>
        <w:rPr>
          <w:sz w:val="12"/>
          <w:szCs w:val="12"/>
        </w:rPr>
        <w:t xml:space="preserve"/>
      </w:r>
    </w:p>
    <w:p>
      <w:pPr>
        <w:spacing w:after="100" w:before="80"/>
      </w:pPr>
      <w:r>
        <w:rPr>
          <w:rFonts w:ascii="Arial" w:cs="Arial" w:eastAsia="Arial" w:hAnsi="Arial"/>
          <w:color w:val="111827"/>
          <w:sz w:val="22"/>
          <w:szCs w:val="22"/>
        </w:rPr>
        <w:t xml:space="preserve">Además, si en una sesión el empleado menciona algo que el sistema no tenía en el radar —un cliente, un proyecto, un riesgo— esa entidad nueva se incorpora al mapa y puede generar nuevas sesiones o nuevas preguntas en sesiones futuras. El proceso se adapta a la realidad del empleado, no al revés.</w:t>
      </w:r>
    </w:p>
    <w:p>
      <w:r>
        <w:rPr>
          <w:sz w:val="12"/>
          <w:szCs w:val="12"/>
        </w:rPr>
        <w:t xml:space="preserve"/>
      </w:r>
    </w:p>
    <w:p>
      <w:r>
        <w:br w:type="page"/>
      </w:r>
    </w:p>
    <w:p>
      <w:pPr>
        <w:pStyle w:val="Heading1"/>
        <w:pBdr>
          <w:bottom w:val="single" w:color="2563EB" w:sz="8" w:space="6"/>
        </w:pBdr>
        <w:spacing w:after="200" w:before="360"/>
      </w:pPr>
      <w:r>
        <w:rPr>
          <w:rFonts w:ascii="Arial" w:cs="Arial" w:eastAsia="Arial" w:hAnsi="Arial"/>
          <w:b/>
          <w:bCs/>
          <w:color w:val="1B2F4E"/>
          <w:sz w:val="36"/>
          <w:szCs w:val="36"/>
        </w:rPr>
        <w:t xml:space="preserve">5. El Gemelo — Experiencia de Uso</w:t>
      </w:r>
    </w:p>
    <w:p>
      <w:pPr>
        <w:spacing w:after="100" w:before="80"/>
      </w:pPr>
      <w:r>
        <w:rPr>
          <w:rFonts w:ascii="Arial" w:cs="Arial" w:eastAsia="Arial" w:hAnsi="Arial"/>
          <w:color w:val="111827"/>
          <w:sz w:val="22"/>
          <w:szCs w:val="22"/>
        </w:rPr>
        <w:t xml:space="preserve">Una vez construido, el gemelo es un asistente conversacional accesible para cualquier persona del equipo con los permisos adecuados. No es un repositorio de documentos. No es una wiki. Es una conversación.</w:t>
      </w:r>
    </w:p>
    <w:p>
      <w:r>
        <w:rPr>
          <w:sz w:val="12"/>
          <w:szCs w:val="12"/>
        </w:rPr>
        <w:t xml:space="preserve"/>
      </w:r>
    </w:p>
    <w:p>
      <w:pPr>
        <w:pStyle w:val="Heading2"/>
        <w:spacing w:after="140" w:before="280"/>
      </w:pPr>
      <w:r>
        <w:rPr>
          <w:rFonts w:ascii="Arial" w:cs="Arial" w:eastAsia="Arial" w:hAnsi="Arial"/>
          <w:b/>
          <w:bCs/>
          <w:color w:val="1B2F4E"/>
          <w:sz w:val="28"/>
          <w:szCs w:val="28"/>
        </w:rPr>
        <w:t xml:space="preserve">5.1 El sustituto entrante</w:t>
      </w:r>
    </w:p>
    <w:p>
      <w:pPr>
        <w:spacing w:after="100" w:before="80"/>
      </w:pPr>
      <w:r>
        <w:rPr>
          <w:rFonts w:ascii="Arial" w:cs="Arial" w:eastAsia="Arial" w:hAnsi="Arial"/>
          <w:color w:val="111827"/>
          <w:sz w:val="22"/>
          <w:szCs w:val="22"/>
        </w:rPr>
        <w:t xml:space="preserve">Para quien llega al rol, el gemelo es el mejor primer día posible. En lugar de pedir a alguien que le explique "cómo van las cosas", puede preguntarle directamente al gemelo sobre cada cuenta, cada proyecto, cada persona clave. Las respuestas no son genéricas: son contextuales, específicas y citan su fuente.</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12"/>
              <w:bottom w:val="none" w:color="FFFFFF" w:sz="0"/>
              <w:right w:val="none" w:color="FFFFFF" w:sz="0"/>
            </w:tcBorders>
            <w:shd w:fill="EDE9FE" w:val="clear"/>
            <w:tcMar>
              <w:top w:type="dxa" w:w="120"/>
              <w:left w:type="dxa" w:w="280"/>
              <w:bottom w:type="dxa" w:w="120"/>
              <w:right w:type="dxa" w:w="200"/>
            </w:tcMar>
          </w:tcPr>
          <w:p>
            <w:pPr>
              <w:spacing w:after="60" w:before="0"/>
            </w:pPr>
            <w:r>
              <w:rPr>
                <w:rFonts w:ascii="Arial" w:cs="Arial" w:eastAsia="Arial" w:hAnsi="Arial"/>
                <w:b/>
                <w:bCs/>
                <w:color w:val="5B21B6"/>
                <w:sz w:val="19"/>
                <w:szCs w:val="19"/>
              </w:rPr>
              <w:t xml:space="preserve">Sustituto</w:t>
            </w:r>
          </w:p>
          <w:p>
            <w:pPr>
              <w:spacing w:after="0" w:before="0"/>
            </w:pPr>
            <w:r>
              <w:rPr>
                <w:rFonts w:ascii="Arial" w:cs="Arial" w:eastAsia="Arial" w:hAnsi="Arial"/>
                <w:i w:val="false"/>
                <w:iCs w:val="false"/>
                <w:color w:val="111827"/>
                <w:sz w:val="20"/>
                <w:szCs w:val="20"/>
              </w:rPr>
              <w:t xml:space="preserve">¿Cuál es el estado actual de la cuenta de Banco Norte y qué debería saber antes de mi primera llamada con ellos?</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4748B" w:sz="12"/>
              <w:bottom w:val="none" w:color="FFFFFF" w:sz="0"/>
              <w:right w:val="none" w:color="FFFFFF" w:sz="0"/>
            </w:tcBorders>
            <w:shd w:fill="F1F5F9" w:val="clear"/>
            <w:tcMar>
              <w:top w:type="dxa" w:w="120"/>
              <w:left w:type="dxa" w:w="280"/>
              <w:bottom w:type="dxa" w:w="120"/>
              <w:right w:type="dxa" w:w="200"/>
            </w:tcMar>
          </w:tcPr>
          <w:p>
            <w:pPr>
              <w:spacing w:after="60" w:before="0"/>
            </w:pPr>
            <w:r>
              <w:rPr>
                <w:rFonts w:ascii="Arial" w:cs="Arial" w:eastAsia="Arial" w:hAnsi="Arial"/>
                <w:b/>
                <w:bCs/>
                <w:color w:val="64748B"/>
                <w:sz w:val="19"/>
                <w:szCs w:val="19"/>
              </w:rPr>
              <w:t xml:space="preserve">KnowTwin (gemelo)</w:t>
            </w:r>
          </w:p>
          <w:p>
            <w:pPr>
              <w:spacing w:after="0" w:before="0"/>
            </w:pPr>
            <w:r>
              <w:rPr>
                <w:rFonts w:ascii="Arial" w:cs="Arial" w:eastAsia="Arial" w:hAnsi="Arial"/>
                <w:i w:val="false"/>
                <w:iCs w:val="false"/>
                <w:color w:val="111827"/>
                <w:sz w:val="20"/>
                <w:szCs w:val="20"/>
              </w:rPr>
              <w:t xml:space="preserve">La cuenta está en fase de negociación de renovación de contrato. El interlocutor oficial es el CTO, Carlos Ruiz, pero la decisión real la toma Elena Ros, directora de Operaciones. Es fundamental informarla antes de cualquier reunión formal — si no lo haces, puede bloquear la aprobación. [Fuente: sesión de entrevista, 14 junio 2026]
Hay un acuerdo informal: nunca escales incidencias de producción los viernes por la tarde. [Fuente: sesión de entrevista, 14 junio 2026]
El proyecto activo es la segunda fase de la migración de pagos, con fecha de entrega estimada en octubre. Hay un riesgo de deuda técnica en el módulo de reconciliación que no está documentado en Jira. [Fuente: documento 'Riesgos Q3 2024', pág. 3]</w:t>
            </w:r>
          </w:p>
        </w:tc>
      </w:tr>
    </w:tbl>
    <w:p>
      <w:r>
        <w:rPr>
          <w:sz w:val="12"/>
          <w:szCs w:val="12"/>
        </w:rPr>
        <w:t xml:space="preserve"/>
      </w:r>
    </w:p>
    <w:p>
      <w:pPr>
        <w:pStyle w:val="Heading2"/>
        <w:spacing w:after="140" w:before="280"/>
      </w:pPr>
      <w:r>
        <w:rPr>
          <w:rFonts w:ascii="Arial" w:cs="Arial" w:eastAsia="Arial" w:hAnsi="Arial"/>
          <w:b/>
          <w:bCs/>
          <w:color w:val="1B2F4E"/>
          <w:sz w:val="28"/>
          <w:szCs w:val="28"/>
        </w:rPr>
        <w:t xml:space="preserve">5.2 El equipo que se queda</w:t>
      </w:r>
    </w:p>
    <w:p>
      <w:pPr>
        <w:spacing w:after="100" w:before="80"/>
      </w:pPr>
      <w:r>
        <w:rPr>
          <w:rFonts w:ascii="Arial" w:cs="Arial" w:eastAsia="Arial" w:hAnsi="Arial"/>
          <w:color w:val="111827"/>
          <w:sz w:val="22"/>
          <w:szCs w:val="22"/>
        </w:rPr>
        <w:t xml:space="preserve">Para el equipo, el gemelo es la forma de no perder el hilo en proyectos en curso. El empleado se fue, pero su conocimiento sobre ese proyecto específico sigue disponible para resolver dudas concretas sin interrumpir a nadie más.</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12"/>
              <w:bottom w:val="none" w:color="FFFFFF" w:sz="0"/>
              <w:right w:val="none" w:color="FFFFFF" w:sz="0"/>
            </w:tcBorders>
            <w:shd w:fill="EDE9FE" w:val="clear"/>
            <w:tcMar>
              <w:top w:type="dxa" w:w="120"/>
              <w:left w:type="dxa" w:w="280"/>
              <w:bottom w:type="dxa" w:w="120"/>
              <w:right w:type="dxa" w:w="200"/>
            </w:tcMar>
          </w:tcPr>
          <w:p>
            <w:pPr>
              <w:spacing w:after="60" w:before="0"/>
            </w:pPr>
            <w:r>
              <w:rPr>
                <w:rFonts w:ascii="Arial" w:cs="Arial" w:eastAsia="Arial" w:hAnsi="Arial"/>
                <w:b/>
                <w:bCs/>
                <w:color w:val="5B21B6"/>
                <w:sz w:val="19"/>
                <w:szCs w:val="19"/>
              </w:rPr>
              <w:t xml:space="preserve">Compañero de equipo</w:t>
            </w:r>
          </w:p>
          <w:p>
            <w:pPr>
              <w:spacing w:after="0" w:before="0"/>
            </w:pPr>
            <w:r>
              <w:rPr>
                <w:rFonts w:ascii="Arial" w:cs="Arial" w:eastAsia="Arial" w:hAnsi="Arial"/>
                <w:i w:val="false"/>
                <w:iCs w:val="false"/>
                <w:color w:val="111827"/>
                <w:sz w:val="20"/>
                <w:szCs w:val="20"/>
              </w:rPr>
              <w:t xml:space="preserve">¿Sabes por qué usamos la librería X para el procesamiento de eventos en el proyecto de Banco Norte y no la alternativa Y que es más estándar?</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4748B" w:sz="12"/>
              <w:bottom w:val="none" w:color="FFFFFF" w:sz="0"/>
              <w:right w:val="none" w:color="FFFFFF" w:sz="0"/>
            </w:tcBorders>
            <w:shd w:fill="F1F5F9" w:val="clear"/>
            <w:tcMar>
              <w:top w:type="dxa" w:w="120"/>
              <w:left w:type="dxa" w:w="280"/>
              <w:bottom w:type="dxa" w:w="120"/>
              <w:right w:type="dxa" w:w="200"/>
            </w:tcMar>
          </w:tcPr>
          <w:p>
            <w:pPr>
              <w:spacing w:after="60" w:before="0"/>
            </w:pPr>
            <w:r>
              <w:rPr>
                <w:rFonts w:ascii="Arial" w:cs="Arial" w:eastAsia="Arial" w:hAnsi="Arial"/>
                <w:b/>
                <w:bCs/>
                <w:color w:val="64748B"/>
                <w:sz w:val="19"/>
                <w:szCs w:val="19"/>
              </w:rPr>
              <w:t xml:space="preserve">KnowTwin (gemelo)</w:t>
            </w:r>
          </w:p>
          <w:p>
            <w:pPr>
              <w:spacing w:after="0" w:before="0"/>
            </w:pPr>
            <w:r>
              <w:rPr>
                <w:rFonts w:ascii="Arial" w:cs="Arial" w:eastAsia="Arial" w:hAnsi="Arial"/>
                <w:i w:val="false"/>
                <w:iCs w:val="false"/>
                <w:color w:val="111827"/>
                <w:sz w:val="20"/>
                <w:szCs w:val="20"/>
              </w:rPr>
              <w:t xml:space="preserve">Se evaluaron ambas opciones en diciembre de 2023. Se descartó Y porque el equipo de Banco Norte no tenía experiencia en ella y el proyecto tenía un plazo muy ajustado que no permitía curva de aprendizaje. La decisión fue pragmática, no técnica. Se dejó nota de que en un futuro proyecto sin restricción de tiempo se revisaría. [Fuente: sesión de entrevista, 15 junio 2026]</w:t>
            </w:r>
          </w:p>
        </w:tc>
      </w:tr>
    </w:tbl>
    <w:p>
      <w:r>
        <w:rPr>
          <w:sz w:val="12"/>
          <w:szCs w:val="12"/>
        </w:rPr>
        <w:t xml:space="preserve"/>
      </w:r>
    </w:p>
    <w:p>
      <w:pPr>
        <w:pStyle w:val="Heading2"/>
        <w:spacing w:after="140" w:before="280"/>
      </w:pPr>
      <w:r>
        <w:rPr>
          <w:rFonts w:ascii="Arial" w:cs="Arial" w:eastAsia="Arial" w:hAnsi="Arial"/>
          <w:b/>
          <w:bCs/>
          <w:color w:val="1B2F4E"/>
          <w:sz w:val="28"/>
          <w:szCs w:val="28"/>
        </w:rPr>
        <w:t xml:space="preserve">5.3 El manager o director</w:t>
      </w:r>
    </w:p>
    <w:p>
      <w:pPr>
        <w:spacing w:after="100" w:before="80"/>
      </w:pPr>
      <w:r>
        <w:rPr>
          <w:rFonts w:ascii="Arial" w:cs="Arial" w:eastAsia="Arial" w:hAnsi="Arial"/>
          <w:color w:val="111827"/>
          <w:sz w:val="22"/>
          <w:szCs w:val="22"/>
        </w:rPr>
        <w:t xml:space="preserve">Para el manager, el gemelo no solo responde preguntas: permite hacer un inventario del conocimiento capturado para tomar decisiones sobre cómo redistribuir responsabilidades y qué áreas requieren más atención durante la transición.</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12"/>
              <w:bottom w:val="none" w:color="FFFFFF" w:sz="0"/>
              <w:right w:val="none" w:color="FFFFFF" w:sz="0"/>
            </w:tcBorders>
            <w:shd w:fill="EDE9FE" w:val="clear"/>
            <w:tcMar>
              <w:top w:type="dxa" w:w="120"/>
              <w:left w:type="dxa" w:w="280"/>
              <w:bottom w:type="dxa" w:w="120"/>
              <w:right w:type="dxa" w:w="200"/>
            </w:tcMar>
          </w:tcPr>
          <w:p>
            <w:pPr>
              <w:spacing w:after="60" w:before="0"/>
            </w:pPr>
            <w:r>
              <w:rPr>
                <w:rFonts w:ascii="Arial" w:cs="Arial" w:eastAsia="Arial" w:hAnsi="Arial"/>
                <w:b/>
                <w:bCs/>
                <w:color w:val="5B21B6"/>
                <w:sz w:val="19"/>
                <w:szCs w:val="19"/>
              </w:rPr>
              <w:t xml:space="preserve">Manager</w:t>
            </w:r>
          </w:p>
          <w:p>
            <w:pPr>
              <w:spacing w:after="0" w:before="0"/>
            </w:pPr>
            <w:r>
              <w:rPr>
                <w:rFonts w:ascii="Arial" w:cs="Arial" w:eastAsia="Arial" w:hAnsi="Arial"/>
                <w:i w:val="false"/>
                <w:iCs w:val="false"/>
                <w:color w:val="111827"/>
                <w:sz w:val="20"/>
                <w:szCs w:val="20"/>
              </w:rPr>
              <w:t xml:space="preserve">¿Qué proyectos o cuentas tienen mayor riesgo en los próximos 90 días como consecuencia de esta salida?</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4748B" w:sz="12"/>
              <w:bottom w:val="none" w:color="FFFFFF" w:sz="0"/>
              <w:right w:val="none" w:color="FFFFFF" w:sz="0"/>
            </w:tcBorders>
            <w:shd w:fill="F1F5F9" w:val="clear"/>
            <w:tcMar>
              <w:top w:type="dxa" w:w="120"/>
              <w:left w:type="dxa" w:w="280"/>
              <w:bottom w:type="dxa" w:w="120"/>
              <w:right w:type="dxa" w:w="200"/>
            </w:tcMar>
          </w:tcPr>
          <w:p>
            <w:pPr>
              <w:spacing w:after="60" w:before="0"/>
            </w:pPr>
            <w:r>
              <w:rPr>
                <w:rFonts w:ascii="Arial" w:cs="Arial" w:eastAsia="Arial" w:hAnsi="Arial"/>
                <w:b/>
                <w:bCs/>
                <w:color w:val="64748B"/>
                <w:sz w:val="19"/>
                <w:szCs w:val="19"/>
              </w:rPr>
              <w:t xml:space="preserve">KnowTwin (gemelo)</w:t>
            </w:r>
          </w:p>
          <w:p>
            <w:pPr>
              <w:spacing w:after="0" w:before="0"/>
            </w:pPr>
            <w:r>
              <w:rPr>
                <w:rFonts w:ascii="Arial" w:cs="Arial" w:eastAsia="Arial" w:hAnsi="Arial"/>
                <w:i w:val="false"/>
                <w:iCs w:val="false"/>
                <w:color w:val="111827"/>
                <w:sz w:val="20"/>
                <w:szCs w:val="20"/>
              </w:rPr>
              <w:t xml:space="preserve">Los tres ámbitos con mayor riesgo de transición son:
① Cuenta Banco Norte — Renovación de contrato en negociación con dinámicas relacionales específicas no documentadas previamente. Cobertura del gemelo: alta.
② Proyecto Modernización Back-Office — Hay deuda técnica no documentada en el módulo de reconciliación. El gemelo tiene el contexto pero se recomienda una sesión de transferencia técnica con el equipo. Cobertura: media.
③ Relación con proveedor CloudBase — El acuerdo de SLA tiene condiciones informales negociadas directamente. No está recogido en el contrato formal. Cobertura: baja (pendiente de sesión de entrevista).</w:t>
            </w:r>
          </w:p>
        </w:tc>
      </w:tr>
    </w:tbl>
    <w:p>
      <w:r>
        <w:rPr>
          <w:sz w:val="12"/>
          <w:szCs w:val="12"/>
        </w:rPr>
        <w:t xml:space="preserve"/>
      </w:r>
    </w:p>
    <w:p>
      <w:r>
        <w:br w:type="page"/>
      </w:r>
    </w:p>
    <w:p>
      <w:pPr>
        <w:pStyle w:val="Heading1"/>
        <w:pBdr>
          <w:bottom w:val="single" w:color="2563EB" w:sz="8" w:space="6"/>
        </w:pBdr>
        <w:spacing w:after="200" w:before="360"/>
      </w:pPr>
      <w:r>
        <w:rPr>
          <w:rFonts w:ascii="Arial" w:cs="Arial" w:eastAsia="Arial" w:hAnsi="Arial"/>
          <w:b/>
          <w:bCs/>
          <w:color w:val="1B2F4E"/>
          <w:sz w:val="36"/>
          <w:szCs w:val="36"/>
        </w:rPr>
        <w:t xml:space="preserve">6. Criterios de Éxito Funcional</w:t>
      </w:r>
    </w:p>
    <w:p>
      <w:pPr>
        <w:spacing w:after="100" w:before="80"/>
      </w:pPr>
      <w:r>
        <w:rPr>
          <w:rFonts w:ascii="Arial" w:cs="Arial" w:eastAsia="Arial" w:hAnsi="Arial"/>
          <w:color w:val="111827"/>
          <w:sz w:val="22"/>
          <w:szCs w:val="22"/>
        </w:rPr>
        <w:t xml:space="preserve">El MVP se considera exitoso cuando se cumplen los siguientes criterios funcionales, medibles en un piloto real con una empresa de consultoría:</w:t>
      </w:r>
    </w:p>
    <w:p>
      <w:r>
        <w:rPr>
          <w:sz w:val="12"/>
          <w:szCs w:val="12"/>
        </w:rPr>
        <w:t xml:space="preserve"/>
      </w:r>
    </w:p>
    <w:p>
      <w:pPr>
        <w:pStyle w:val="ListParagraph"/>
        <w:numPr>
          <w:ilvl w:val="0"/>
          <w:numId w:val="2"/>
        </w:numPr>
        <w:spacing w:after="60" w:before="60"/>
      </w:pPr>
      <w:r>
        <w:rPr>
          <w:rFonts w:ascii="Arial" w:cs="Arial" w:eastAsia="Arial" w:hAnsi="Arial"/>
          <w:b/>
          <w:bCs/>
          <w:color w:val="111827"/>
          <w:sz w:val="22"/>
          <w:szCs w:val="22"/>
        </w:rPr>
        <w:t xml:space="preserve">Proceso completo viable: </w:t>
      </w:r>
      <w:r>
        <w:rPr>
          <w:rFonts w:ascii="Arial" w:cs="Arial" w:eastAsia="Arial" w:hAnsi="Arial"/>
          <w:color w:val="111827"/>
          <w:sz w:val="22"/>
          <w:szCs w:val="22"/>
        </w:rPr>
        <w:t xml:space="preserve">un technical manager puede completar el alta, la conexión de fuentes y tres sesiones de entrevista en menos de 2 horas de tiempo efectivo distribuidas en su período de preaviso.</w:t>
      </w:r>
    </w:p>
    <w:p>
      <w:pPr>
        <w:pStyle w:val="ListParagraph"/>
        <w:numPr>
          <w:ilvl w:val="0"/>
          <w:numId w:val="2"/>
        </w:numPr>
        <w:spacing w:after="60" w:before="60"/>
      </w:pPr>
      <w:r>
        <w:rPr>
          <w:rFonts w:ascii="Arial" w:cs="Arial" w:eastAsia="Arial" w:hAnsi="Arial"/>
          <w:b/>
          <w:bCs/>
          <w:color w:val="111827"/>
          <w:sz w:val="22"/>
          <w:szCs w:val="22"/>
        </w:rPr>
        <w:t xml:space="preserve">Calidad de las entrevistas: </w:t>
      </w:r>
      <w:r>
        <w:rPr>
          <w:rFonts w:ascii="Arial" w:cs="Arial" w:eastAsia="Arial" w:hAnsi="Arial"/>
          <w:color w:val="111827"/>
          <w:sz w:val="22"/>
          <w:szCs w:val="22"/>
        </w:rPr>
        <w:t xml:space="preserve">al menos el 70% de las respuestas del empleado introducen información no presente en los documentos previos (el agente está preguntando por lo correcto).</w:t>
      </w:r>
    </w:p>
    <w:p>
      <w:pPr>
        <w:pStyle w:val="ListParagraph"/>
        <w:numPr>
          <w:ilvl w:val="0"/>
          <w:numId w:val="2"/>
        </w:numPr>
        <w:spacing w:after="60" w:before="60"/>
      </w:pPr>
      <w:r>
        <w:rPr>
          <w:rFonts w:ascii="Arial" w:cs="Arial" w:eastAsia="Arial" w:hAnsi="Arial"/>
          <w:b/>
          <w:bCs/>
          <w:color w:val="111827"/>
          <w:sz w:val="22"/>
          <w:szCs w:val="22"/>
        </w:rPr>
        <w:t xml:space="preserve">Utilidad del gemelo: </w:t>
      </w:r>
      <w:r>
        <w:rPr>
          <w:rFonts w:ascii="Arial" w:cs="Arial" w:eastAsia="Arial" w:hAnsi="Arial"/>
          <w:color w:val="111827"/>
          <w:sz w:val="22"/>
          <w:szCs w:val="22"/>
        </w:rPr>
        <w:t xml:space="preserve">el sustituto o el equipo hacen preguntas al gemelo en la primera semana y valoran las respuestas como útiles o muy útiles en al menos el 75% de los casos.</w:t>
      </w:r>
    </w:p>
    <w:p>
      <w:pPr>
        <w:pStyle w:val="ListParagraph"/>
        <w:numPr>
          <w:ilvl w:val="0"/>
          <w:numId w:val="2"/>
        </w:numPr>
        <w:spacing w:after="60" w:before="60"/>
      </w:pPr>
      <w:r>
        <w:rPr>
          <w:rFonts w:ascii="Arial" w:cs="Arial" w:eastAsia="Arial" w:hAnsi="Arial"/>
          <w:b/>
          <w:bCs/>
          <w:color w:val="111827"/>
          <w:sz w:val="22"/>
          <w:szCs w:val="22"/>
        </w:rPr>
        <w:t xml:space="preserve">Reducción del ramp-up: </w:t>
      </w:r>
      <w:r>
        <w:rPr>
          <w:rFonts w:ascii="Arial" w:cs="Arial" w:eastAsia="Arial" w:hAnsi="Arial"/>
          <w:color w:val="111827"/>
          <w:sz w:val="22"/>
          <w:szCs w:val="22"/>
        </w:rPr>
        <w:t xml:space="preserve">el sustituto alcanza autonomía operativa en cuentas y proyectos en menos tiempo que el promedio histórico de onboarding en la empresa piloto.</w:t>
      </w:r>
    </w:p>
    <w:p>
      <w:pPr>
        <w:pStyle w:val="ListParagraph"/>
        <w:numPr>
          <w:ilvl w:val="0"/>
          <w:numId w:val="2"/>
        </w:numPr>
        <w:spacing w:after="60" w:before="60"/>
      </w:pPr>
      <w:r>
        <w:rPr>
          <w:rFonts w:ascii="Arial" w:cs="Arial" w:eastAsia="Arial" w:hAnsi="Arial"/>
          <w:b/>
          <w:bCs/>
          <w:color w:val="111827"/>
          <w:sz w:val="22"/>
          <w:szCs w:val="22"/>
        </w:rPr>
        <w:t xml:space="preserve">Trazabilidad: </w:t>
      </w:r>
      <w:r>
        <w:rPr>
          <w:rFonts w:ascii="Arial" w:cs="Arial" w:eastAsia="Arial" w:hAnsi="Arial"/>
          <w:color w:val="111827"/>
          <w:sz w:val="22"/>
          <w:szCs w:val="22"/>
        </w:rPr>
        <w:t xml:space="preserve">el 100% de las respuestas del gemelo citan su fuente (documento, sesión de entrevista, fecha). El usuario siempre sabe de dónde viene la información.</w:t>
      </w:r>
    </w:p>
    <w:p>
      <w:r>
        <w:rPr>
          <w:sz w:val="12"/>
          <w:szCs w:val="12"/>
        </w:rPr>
        <w:t xml:space="preserve"/>
      </w:r>
    </w:p>
    <w:p>
      <w:r>
        <w:rPr>
          <w:sz w:val="12"/>
          <w:szCs w:val="12"/>
        </w:rPr>
        <w:t xml:space="preserve"/>
      </w:r>
    </w:p>
    <w:p>
      <w:r>
        <w:rPr>
          <w:sz w:val="12"/>
          <w:szCs w:val="12"/>
        </w:rPr>
        <w:t xml:space="preserve"/>
      </w:r>
    </w:p>
    <w:p>
      <w:r>
        <w:br w:type="page"/>
      </w:r>
    </w:p>
    <w:p>
      <w:pPr>
        <w:pStyle w:val="Heading1"/>
        <w:pBdr>
          <w:bottom w:val="single" w:color="2563EB" w:sz="8" w:space="6"/>
        </w:pBdr>
        <w:spacing w:after="200" w:before="360"/>
      </w:pPr>
      <w:r>
        <w:rPr>
          <w:rFonts w:ascii="Arial" w:cs="Arial" w:eastAsia="Arial" w:hAnsi="Arial"/>
          <w:b/>
          <w:bCs/>
          <w:color w:val="1B2F4E"/>
          <w:sz w:val="36"/>
          <w:szCs w:val="36"/>
        </w:rPr>
        <w:t xml:space="preserve">7. El MVP de Principio a Fin — Caso Completo</w:t>
      </w:r>
    </w:p>
    <w:p>
      <w:pPr>
        <w:spacing w:after="100" w:before="80"/>
      </w:pPr>
      <w:r>
        <w:rPr>
          <w:rFonts w:ascii="Arial" w:cs="Arial" w:eastAsia="Arial" w:hAnsi="Arial"/>
          <w:color w:val="111827"/>
          <w:sz w:val="22"/>
          <w:szCs w:val="22"/>
        </w:rPr>
        <w:t xml:space="preserve">Esta sección narra el recorrido completo del MVP con un caso concreto. El objetivo es que quede claro qué hace el sistema exactamente, qué información entra, qué captura sola y qué necesitan las entrevistas para completar.</w:t>
      </w:r>
    </w:p>
    <w:p>
      <w:r>
        <w:rPr>
          <w:sz w:val="12"/>
          <w:szCs w:val="12"/>
        </w:rPr>
        <w:t xml:space="preserve"/>
      </w:r>
    </w:p>
    <w:p>
      <w:pPr>
        <w:pStyle w:val="Heading2"/>
        <w:spacing w:after="140" w:before="280"/>
      </w:pPr>
      <w:r>
        <w:rPr>
          <w:rFonts w:ascii="Arial" w:cs="Arial" w:eastAsia="Arial" w:hAnsi="Arial"/>
          <w:b/>
          <w:bCs/>
          <w:color w:val="1B2F4E"/>
          <w:sz w:val="28"/>
          <w:szCs w:val="28"/>
        </w:rPr>
        <w:t xml:space="preserve">7.1 El empleado: Juan García</w:t>
      </w:r>
    </w:p>
    <w:p>
      <w:pPr>
        <w:spacing w:after="100" w:before="80"/>
      </w:pPr>
      <w:r>
        <w:rPr>
          <w:rFonts w:ascii="Arial" w:cs="Arial" w:eastAsia="Arial" w:hAnsi="Arial"/>
          <w:color w:val="111827"/>
          <w:sz w:val="22"/>
          <w:szCs w:val="22"/>
        </w:rPr>
        <w:t xml:space="preserve">Juan García lleva seis años en la firma. Es Senior Technical Manager y gestiona tres cuentas activas: Banco Norte (cuenta estratégica en proceso de renovación), RetailCo (proyecto de modernización en curso) y un cliente pequeño en fase de cierre. Tiene dos proyectos técnicos en producción bajo su responsabilidad directa. Acaba de comunicar que se va. Tiene cuatro semanas de preaviso.</w:t>
      </w:r>
    </w:p>
    <w:p>
      <w:r>
        <w:rPr>
          <w:sz w:val="12"/>
          <w:szCs w:val="12"/>
        </w:rPr>
        <w:t xml:space="preserve"/>
      </w:r>
    </w:p>
    <w:p>
      <w:pPr>
        <w:spacing w:after="100" w:before="80"/>
      </w:pPr>
      <w:r>
        <w:rPr>
          <w:rFonts w:ascii="Arial" w:cs="Arial" w:eastAsia="Arial" w:hAnsi="Arial"/>
          <w:color w:val="111827"/>
          <w:sz w:val="22"/>
          <w:szCs w:val="22"/>
        </w:rPr>
        <w:t xml:space="preserve">HR activa KnowTwin ese mismo día. Juan recibe un enlace, conecta su SharePoint y su Outlook en cinco minutos, y sube manualmente un par de documentos que tiene en local. A partir de ahí el sistema trabaja solo durante las primeras horas.</w:t>
      </w:r>
    </w:p>
    <w:p>
      <w:r>
        <w:rPr>
          <w:sz w:val="12"/>
          <w:szCs w:val="12"/>
        </w:rPr>
        <w:t xml:space="preserve"/>
      </w:r>
    </w:p>
    <w:p>
      <w:pPr>
        <w:pStyle w:val="Heading2"/>
        <w:spacing w:after="140" w:before="280"/>
      </w:pPr>
      <w:r>
        <w:rPr>
          <w:rFonts w:ascii="Arial" w:cs="Arial" w:eastAsia="Arial" w:hAnsi="Arial"/>
          <w:b/>
          <w:bCs/>
          <w:color w:val="1B2F4E"/>
          <w:sz w:val="28"/>
          <w:szCs w:val="28"/>
        </w:rPr>
        <w:t xml:space="preserve">7.2 La base documental de Juan</w:t>
      </w:r>
    </w:p>
    <w:p>
      <w:pPr>
        <w:spacing w:after="100" w:before="80"/>
      </w:pPr>
      <w:r>
        <w:rPr>
          <w:rFonts w:ascii="Arial" w:cs="Arial" w:eastAsia="Arial" w:hAnsi="Arial"/>
          <w:color w:val="111827"/>
          <w:sz w:val="22"/>
          <w:szCs w:val="22"/>
        </w:rPr>
        <w:t xml:space="preserve">El sistema accede a los siguientes materiales a través de los conectores y la subida manual:</w:t>
      </w:r>
    </w:p>
    <w:p>
      <w:r>
        <w:rPr>
          <w:sz w:val="12"/>
          <w:szCs w:val="12"/>
        </w:rPr>
        <w:t xml:space="preserve"/>
      </w:r>
    </w:p>
    <w:p>
      <w:pPr>
        <w:spacing w:after="100" w:before="200"/>
      </w:pPr>
      <w:r>
        <w:rPr>
          <w:rFonts w:ascii="Arial" w:cs="Arial" w:eastAsia="Arial" w:hAnsi="Arial"/>
          <w:b/>
          <w:bCs/>
          <w:color w:val="2563EB"/>
          <w:sz w:val="24"/>
          <w:szCs w:val="24"/>
        </w:rPr>
        <w:t xml:space="preserve">SharePoint — Documentos</w:t>
      </w:r>
    </w:p>
    <w:p>
      <w:pPr>
        <w:pStyle w:val="ListParagraph"/>
        <w:numPr>
          <w:ilvl w:val="0"/>
          <w:numId w:val="2"/>
        </w:numPr>
        <w:spacing w:after="60" w:before="60"/>
      </w:pPr>
      <w:r>
        <w:rPr>
          <w:rFonts w:ascii="Arial" w:cs="Arial" w:eastAsia="Arial" w:hAnsi="Arial"/>
          <w:b/>
          <w:bCs/>
          <w:color w:val="111827"/>
          <w:sz w:val="22"/>
          <w:szCs w:val="22"/>
        </w:rPr>
        <w:t xml:space="preserve">arquitectura_sistema_pagos_v3.docx </w:t>
      </w:r>
      <w:r>
        <w:rPr>
          <w:rFonts w:ascii="Arial" w:cs="Arial" w:eastAsia="Arial" w:hAnsi="Arial"/>
          <w:color w:val="111827"/>
          <w:sz w:val="22"/>
          <w:szCs w:val="22"/>
        </w:rPr>
        <w:t xml:space="preserve">— Diagrama y descripción de la arquitectura del sistema de pagos de Banco Norte. Microservicios, dependencias y flujo de datos.</w:t>
      </w:r>
    </w:p>
    <w:p>
      <w:pPr>
        <w:pStyle w:val="ListParagraph"/>
        <w:numPr>
          <w:ilvl w:val="0"/>
          <w:numId w:val="2"/>
        </w:numPr>
        <w:spacing w:after="60" w:before="60"/>
      </w:pPr>
      <w:r>
        <w:rPr>
          <w:rFonts w:ascii="Arial" w:cs="Arial" w:eastAsia="Arial" w:hAnsi="Arial"/>
          <w:b/>
          <w:bCs/>
          <w:color w:val="111827"/>
          <w:sz w:val="22"/>
          <w:szCs w:val="22"/>
        </w:rPr>
        <w:t xml:space="preserve">propuesta_modernizacion_retailco_nov2024.pptx </w:t>
      </w:r>
      <w:r>
        <w:rPr>
          <w:rFonts w:ascii="Arial" w:cs="Arial" w:eastAsia="Arial" w:hAnsi="Arial"/>
          <w:color w:val="111827"/>
          <w:sz w:val="22"/>
          <w:szCs w:val="22"/>
        </w:rPr>
        <w:t xml:space="preserve">— Presentación de propuesta para RetailCo. Alcance, fases, estimaciones y stack propuesto.</w:t>
      </w:r>
    </w:p>
    <w:p>
      <w:pPr>
        <w:pStyle w:val="ListParagraph"/>
        <w:numPr>
          <w:ilvl w:val="0"/>
          <w:numId w:val="2"/>
        </w:numPr>
        <w:spacing w:after="60" w:before="60"/>
      </w:pPr>
      <w:r>
        <w:rPr>
          <w:rFonts w:ascii="Arial" w:cs="Arial" w:eastAsia="Arial" w:hAnsi="Arial"/>
          <w:b/>
          <w:bCs/>
          <w:color w:val="111827"/>
          <w:sz w:val="22"/>
          <w:szCs w:val="22"/>
        </w:rPr>
        <w:t xml:space="preserve">ADR_001_decision_base_datos.docx, ADR_002_cola_mensajes.docx </w:t>
      </w:r>
      <w:r>
        <w:rPr>
          <w:rFonts w:ascii="Arial" w:cs="Arial" w:eastAsia="Arial" w:hAnsi="Arial"/>
          <w:color w:val="111827"/>
          <w:sz w:val="22"/>
          <w:szCs w:val="22"/>
        </w:rPr>
        <w:t xml:space="preserve">— Architecture Decision Records de ambos proyectos activos.</w:t>
      </w:r>
    </w:p>
    <w:p>
      <w:pPr>
        <w:pStyle w:val="ListParagraph"/>
        <w:numPr>
          <w:ilvl w:val="0"/>
          <w:numId w:val="2"/>
        </w:numPr>
        <w:spacing w:after="60" w:before="60"/>
      </w:pPr>
      <w:r>
        <w:rPr>
          <w:rFonts w:ascii="Arial" w:cs="Arial" w:eastAsia="Arial" w:hAnsi="Arial"/>
          <w:b/>
          <w:bCs/>
          <w:color w:val="111827"/>
          <w:sz w:val="22"/>
          <w:szCs w:val="22"/>
        </w:rPr>
        <w:t xml:space="preserve">plan_proyecto_retailco_q4.xlsx </w:t>
      </w:r>
      <w:r>
        <w:rPr>
          <w:rFonts w:ascii="Arial" w:cs="Arial" w:eastAsia="Arial" w:hAnsi="Arial"/>
          <w:color w:val="111827"/>
          <w:sz w:val="22"/>
          <w:szCs w:val="22"/>
        </w:rPr>
        <w:t xml:space="preserve">— Seguimiento de tareas, hitos y responsables del proyecto RetailCo.</w:t>
      </w:r>
    </w:p>
    <w:p>
      <w:r>
        <w:rPr>
          <w:sz w:val="12"/>
          <w:szCs w:val="12"/>
        </w:rPr>
        <w:t xml:space="preserve"/>
      </w:r>
    </w:p>
    <w:p>
      <w:pPr>
        <w:spacing w:after="100" w:before="200"/>
      </w:pPr>
      <w:r>
        <w:rPr>
          <w:rFonts w:ascii="Arial" w:cs="Arial" w:eastAsia="Arial" w:hAnsi="Arial"/>
          <w:b/>
          <w:bCs/>
          <w:color w:val="2563EB"/>
          <w:sz w:val="24"/>
          <w:szCs w:val="24"/>
        </w:rPr>
        <w:t xml:space="preserve">SharePoint — Código</w:t>
      </w:r>
    </w:p>
    <w:p>
      <w:pPr>
        <w:pStyle w:val="ListParagraph"/>
        <w:numPr>
          <w:ilvl w:val="0"/>
          <w:numId w:val="2"/>
        </w:numPr>
        <w:spacing w:after="60" w:before="60"/>
      </w:pPr>
      <w:r>
        <w:rPr>
          <w:rFonts w:ascii="Arial" w:cs="Arial" w:eastAsia="Arial" w:hAnsi="Arial"/>
          <w:b/>
          <w:bCs/>
          <w:color w:val="111827"/>
          <w:sz w:val="22"/>
          <w:szCs w:val="22"/>
        </w:rPr>
        <w:t xml:space="preserve">reconciliation_service/main.py, config.py, utils.py </w:t>
      </w:r>
      <w:r>
        <w:rPr>
          <w:rFonts w:ascii="Arial" w:cs="Arial" w:eastAsia="Arial" w:hAnsi="Arial"/>
          <w:color w:val="111827"/>
          <w:sz w:val="22"/>
          <w:szCs w:val="22"/>
        </w:rPr>
        <w:t xml:space="preserve">— Microservicio Python de reconciliación de pagos. Con comentarios de código pero sin documentación externa de decisiones de diseño.</w:t>
      </w:r>
    </w:p>
    <w:p>
      <w:pPr>
        <w:pStyle w:val="ListParagraph"/>
        <w:numPr>
          <w:ilvl w:val="0"/>
          <w:numId w:val="2"/>
        </w:numPr>
        <w:spacing w:after="60" w:before="60"/>
      </w:pPr>
      <w:r>
        <w:rPr>
          <w:rFonts w:ascii="Arial" w:cs="Arial" w:eastAsia="Arial" w:hAnsi="Arial"/>
          <w:b/>
          <w:bCs/>
          <w:color w:val="111827"/>
          <w:sz w:val="22"/>
          <w:szCs w:val="22"/>
        </w:rPr>
        <w:t xml:space="preserve">etl_pipeline/transform.py </w:t>
      </w:r>
      <w:r>
        <w:rPr>
          <w:rFonts w:ascii="Arial" w:cs="Arial" w:eastAsia="Arial" w:hAnsi="Arial"/>
          <w:color w:val="111827"/>
          <w:sz w:val="22"/>
          <w:szCs w:val="22"/>
        </w:rPr>
        <w:t xml:space="preserve">— Script de transformación de datos para la integración de RetailCo.</w:t>
      </w:r>
    </w:p>
    <w:p>
      <w:pPr>
        <w:pStyle w:val="ListParagraph"/>
        <w:numPr>
          <w:ilvl w:val="0"/>
          <w:numId w:val="2"/>
        </w:numPr>
        <w:spacing w:after="60" w:before="60"/>
      </w:pPr>
      <w:r>
        <w:rPr>
          <w:rFonts w:ascii="Arial" w:cs="Arial" w:eastAsia="Arial" w:hAnsi="Arial"/>
          <w:b/>
          <w:bCs/>
          <w:color w:val="111827"/>
          <w:sz w:val="22"/>
          <w:szCs w:val="22"/>
        </w:rPr>
        <w:t xml:space="preserve">README.md </w:t>
      </w:r>
      <w:r>
        <w:rPr>
          <w:rFonts w:ascii="Arial" w:cs="Arial" w:eastAsia="Arial" w:hAnsi="Arial"/>
          <w:color w:val="111827"/>
          <w:sz w:val="22"/>
          <w:szCs w:val="22"/>
        </w:rPr>
        <w:t xml:space="preserve">— Instrucciones de despliegue en ambos repositorios. Sin contexto de decisiones de arquitectura.</w:t>
      </w:r>
    </w:p>
    <w:p>
      <w:r>
        <w:rPr>
          <w:sz w:val="12"/>
          <w:szCs w:val="12"/>
        </w:rPr>
        <w:t xml:space="preserve"/>
      </w:r>
    </w:p>
    <w:p>
      <w:pPr>
        <w:spacing w:after="100" w:before="200"/>
      </w:pPr>
      <w:r>
        <w:rPr>
          <w:rFonts w:ascii="Arial" w:cs="Arial" w:eastAsia="Arial" w:hAnsi="Arial"/>
          <w:b/>
          <w:bCs/>
          <w:color w:val="2563EB"/>
          <w:sz w:val="24"/>
          <w:szCs w:val="24"/>
        </w:rPr>
        <w:t xml:space="preserve">Outlook — Correo</w:t>
      </w:r>
    </w:p>
    <w:p>
      <w:pPr>
        <w:pStyle w:val="ListParagraph"/>
        <w:numPr>
          <w:ilvl w:val="0"/>
          <w:numId w:val="2"/>
        </w:numPr>
        <w:spacing w:after="60" w:before="60"/>
      </w:pPr>
      <w:r>
        <w:rPr>
          <w:rFonts w:ascii="Arial" w:cs="Arial" w:eastAsia="Arial" w:hAnsi="Arial"/>
          <w:color w:val="111827"/>
          <w:sz w:val="22"/>
          <w:szCs w:val="22"/>
        </w:rPr>
        <w:t xml:space="preserve">Hilo de negociación del SLA con proveedor CloudBase (12 correos, enero–marzo 2025). El acuerdo final no está en ningún contrato formal.</w:t>
      </w:r>
    </w:p>
    <w:p>
      <w:pPr>
        <w:pStyle w:val="ListParagraph"/>
        <w:numPr>
          <w:ilvl w:val="0"/>
          <w:numId w:val="2"/>
        </w:numPr>
        <w:spacing w:after="60" w:before="60"/>
      </w:pPr>
      <w:r>
        <w:rPr>
          <w:rFonts w:ascii="Arial" w:cs="Arial" w:eastAsia="Arial" w:hAnsi="Arial"/>
          <w:color w:val="111827"/>
          <w:sz w:val="22"/>
          <w:szCs w:val="22"/>
        </w:rPr>
        <w:t xml:space="preserve">Correos con el CTO de Banco Norte sobre el proceso de renovación del contrato.</w:t>
      </w:r>
    </w:p>
    <w:p>
      <w:pPr>
        <w:pStyle w:val="ListParagraph"/>
        <w:numPr>
          <w:ilvl w:val="0"/>
          <w:numId w:val="2"/>
        </w:numPr>
        <w:spacing w:after="60" w:before="60"/>
      </w:pPr>
      <w:r>
        <w:rPr>
          <w:rFonts w:ascii="Arial" w:cs="Arial" w:eastAsia="Arial" w:hAnsi="Arial"/>
          <w:color w:val="111827"/>
          <w:sz w:val="22"/>
          <w:szCs w:val="22"/>
        </w:rPr>
        <w:t xml:space="preserve">Intercambio interno sobre un incidente de producción de agosto 2024 en RetailCo y las medidas tomadas.</w:t>
      </w:r>
    </w:p>
    <w:p>
      <w:r>
        <w:rPr>
          <w:sz w:val="12"/>
          <w:szCs w:val="12"/>
        </w:rPr>
        <w:t xml:space="preserve"/>
      </w:r>
    </w:p>
    <w:p>
      <w:pPr>
        <w:spacing w:after="100" w:before="200"/>
      </w:pPr>
      <w:r>
        <w:rPr>
          <w:rFonts w:ascii="Arial" w:cs="Arial" w:eastAsia="Arial" w:hAnsi="Arial"/>
          <w:b/>
          <w:bCs/>
          <w:color w:val="2563EB"/>
          <w:sz w:val="24"/>
          <w:szCs w:val="24"/>
        </w:rPr>
        <w:t xml:space="preserve">Subida manual</w:t>
      </w:r>
    </w:p>
    <w:p>
      <w:pPr>
        <w:pStyle w:val="ListParagraph"/>
        <w:numPr>
          <w:ilvl w:val="0"/>
          <w:numId w:val="2"/>
        </w:numPr>
        <w:spacing w:after="60" w:before="60"/>
      </w:pPr>
      <w:r>
        <w:rPr>
          <w:rFonts w:ascii="Arial" w:cs="Arial" w:eastAsia="Arial" w:hAnsi="Arial"/>
          <w:b/>
          <w:bCs/>
          <w:color w:val="111827"/>
          <w:sz w:val="22"/>
          <w:szCs w:val="22"/>
        </w:rPr>
        <w:t xml:space="preserve">notas_reunion_kickoff_retailco.docx </w:t>
      </w:r>
      <w:r>
        <w:rPr>
          <w:rFonts w:ascii="Arial" w:cs="Arial" w:eastAsia="Arial" w:hAnsi="Arial"/>
          <w:color w:val="111827"/>
          <w:sz w:val="22"/>
          <w:szCs w:val="22"/>
        </w:rPr>
        <w:t xml:space="preserve">— Compromisos verbales del cliente no recogidos en el contrato.</w:t>
      </w:r>
    </w:p>
    <w:p>
      <w:pPr>
        <w:pStyle w:val="ListParagraph"/>
        <w:numPr>
          <w:ilvl w:val="0"/>
          <w:numId w:val="2"/>
        </w:numPr>
        <w:spacing w:after="60" w:before="60"/>
      </w:pPr>
      <w:r>
        <w:rPr>
          <w:rFonts w:ascii="Arial" w:cs="Arial" w:eastAsia="Arial" w:hAnsi="Arial"/>
          <w:b/>
          <w:bCs/>
          <w:color w:val="111827"/>
          <w:sz w:val="22"/>
          <w:szCs w:val="22"/>
        </w:rPr>
        <w:t xml:space="preserve">checklist_despliegue_banco_norte.pdf </w:t>
      </w:r>
      <w:r>
        <w:rPr>
          <w:rFonts w:ascii="Arial" w:cs="Arial" w:eastAsia="Arial" w:hAnsi="Arial"/>
          <w:color w:val="111827"/>
          <w:sz w:val="22"/>
          <w:szCs w:val="22"/>
        </w:rPr>
        <w:t xml:space="preserve">— Procedimiento real de despliegue con pasos no documentados en la wiki oficial.</w:t>
      </w:r>
    </w:p>
    <w:p>
      <w:r>
        <w:rPr>
          <w:sz w:val="12"/>
          <w:szCs w:val="12"/>
        </w:rPr>
        <w:t xml:space="preserve"/>
      </w:r>
    </w:p>
    <w:p>
      <w:pPr>
        <w:pStyle w:val="Heading2"/>
        <w:spacing w:after="140" w:before="280"/>
      </w:pPr>
      <w:r>
        <w:rPr>
          <w:rFonts w:ascii="Arial" w:cs="Arial" w:eastAsia="Arial" w:hAnsi="Arial"/>
          <w:b/>
          <w:bCs/>
          <w:color w:val="1B2F4E"/>
          <w:sz w:val="28"/>
          <w:szCs w:val="28"/>
        </w:rPr>
        <w:t xml:space="preserve">7.3 Lo que el sistema captura solo, y lo que no</w:t>
      </w:r>
    </w:p>
    <w:p>
      <w:pPr>
        <w:spacing w:after="100" w:before="80"/>
      </w:pPr>
      <w:r>
        <w:rPr>
          <w:rFonts w:ascii="Arial" w:cs="Arial" w:eastAsia="Arial" w:hAnsi="Arial"/>
          <w:color w:val="111827"/>
          <w:sz w:val="22"/>
          <w:szCs w:val="22"/>
        </w:rPr>
        <w:t xml:space="preserve">Tras procesar todo el material, el sistema tiene una imagen inicial del conocimiento de Juan. Esa imagen tiene zonas bien iluminadas y zonas oscuras. La distinción define exactamente qué tienen que resolver las entrevistas.</w:t>
      </w:r>
    </w:p>
    <w:p>
      <w:r>
        <w:rPr>
          <w:sz w:val="12"/>
          <w:szCs w:val="12"/>
        </w:rPr>
        <w:t xml:space="preserve"/>
      </w:r>
    </w:p>
    <w:p>
      <w:pPr>
        <w:spacing w:after="100" w:before="200"/>
      </w:pPr>
      <w:r>
        <w:rPr>
          <w:rFonts w:ascii="Arial" w:cs="Arial" w:eastAsia="Arial" w:hAnsi="Arial"/>
          <w:b/>
          <w:bCs/>
          <w:color w:val="2563EB"/>
          <w:sz w:val="24"/>
          <w:szCs w:val="24"/>
        </w:rPr>
        <w:t xml:space="preserve">Lo que los documentos capturan bien</w:t>
      </w:r>
    </w:p>
    <w:p>
      <w:pPr>
        <w:pStyle w:val="ListParagraph"/>
        <w:numPr>
          <w:ilvl w:val="0"/>
          <w:numId w:val="2"/>
        </w:numPr>
        <w:spacing w:after="60" w:before="60"/>
      </w:pPr>
      <w:r>
        <w:rPr>
          <w:rFonts w:ascii="Arial" w:cs="Arial" w:eastAsia="Arial" w:hAnsi="Arial"/>
          <w:b/>
          <w:bCs/>
          <w:color w:val="111827"/>
          <w:sz w:val="22"/>
          <w:szCs w:val="22"/>
        </w:rPr>
        <w:t xml:space="preserve">Estructura técnica: </w:t>
      </w:r>
      <w:r>
        <w:rPr>
          <w:rFonts w:ascii="Arial" w:cs="Arial" w:eastAsia="Arial" w:hAnsi="Arial"/>
          <w:color w:val="111827"/>
          <w:sz w:val="22"/>
          <w:szCs w:val="22"/>
        </w:rPr>
        <w:t xml:space="preserve">arquitectura del sistema de pagos, microservicios, dependencias, stack tecnológico. Los ADRs documentan qué se decidió en cada proyecto.</w:t>
      </w:r>
    </w:p>
    <w:p>
      <w:pPr>
        <w:pStyle w:val="ListParagraph"/>
        <w:numPr>
          <w:ilvl w:val="0"/>
          <w:numId w:val="2"/>
        </w:numPr>
        <w:spacing w:after="60" w:before="60"/>
      </w:pPr>
      <w:r>
        <w:rPr>
          <w:rFonts w:ascii="Arial" w:cs="Arial" w:eastAsia="Arial" w:hAnsi="Arial"/>
          <w:b/>
          <w:bCs/>
          <w:color w:val="111827"/>
          <w:sz w:val="22"/>
          <w:szCs w:val="22"/>
        </w:rPr>
        <w:t xml:space="preserve">Estado de los proyectos: </w:t>
      </w:r>
      <w:r>
        <w:rPr>
          <w:rFonts w:ascii="Arial" w:cs="Arial" w:eastAsia="Arial" w:hAnsi="Arial"/>
          <w:color w:val="111827"/>
          <w:sz w:val="22"/>
          <w:szCs w:val="22"/>
        </w:rPr>
        <w:t xml:space="preserve">el plan de RetailCo da visibilidad de hitos, fechas y responsables formales.</w:t>
      </w:r>
    </w:p>
    <w:p>
      <w:pPr>
        <w:pStyle w:val="ListParagraph"/>
        <w:numPr>
          <w:ilvl w:val="0"/>
          <w:numId w:val="2"/>
        </w:numPr>
        <w:spacing w:after="60" w:before="60"/>
      </w:pPr>
      <w:r>
        <w:rPr>
          <w:rFonts w:ascii="Arial" w:cs="Arial" w:eastAsia="Arial" w:hAnsi="Arial"/>
          <w:b/>
          <w:bCs/>
          <w:color w:val="111827"/>
          <w:sz w:val="22"/>
          <w:szCs w:val="22"/>
        </w:rPr>
        <w:t xml:space="preserve">Mapa de entidades básico: </w:t>
      </w:r>
      <w:r>
        <w:rPr>
          <w:rFonts w:ascii="Arial" w:cs="Arial" w:eastAsia="Arial" w:hAnsi="Arial"/>
          <w:color w:val="111827"/>
          <w:sz w:val="22"/>
          <w:szCs w:val="22"/>
        </w:rPr>
        <w:t xml:space="preserve">el sistema identifica los clientes (Banco Norte, RetailCo, CloudBase), los proyectos, las tecnologías usadas y los nombres mencionados en correos y documentos.</w:t>
      </w:r>
    </w:p>
    <w:p>
      <w:pPr>
        <w:pStyle w:val="ListParagraph"/>
        <w:numPr>
          <w:ilvl w:val="0"/>
          <w:numId w:val="2"/>
        </w:numPr>
        <w:spacing w:after="60" w:before="60"/>
      </w:pPr>
      <w:r>
        <w:rPr>
          <w:rFonts w:ascii="Arial" w:cs="Arial" w:eastAsia="Arial" w:hAnsi="Arial"/>
          <w:b/>
          <w:bCs/>
          <w:color w:val="111827"/>
          <w:sz w:val="22"/>
          <w:szCs w:val="22"/>
        </w:rPr>
        <w:t xml:space="preserve">El código como artefacto: </w:t>
      </w:r>
      <w:r>
        <w:rPr>
          <w:rFonts w:ascii="Arial" w:cs="Arial" w:eastAsia="Arial" w:hAnsi="Arial"/>
          <w:color w:val="111827"/>
          <w:sz w:val="22"/>
          <w:szCs w:val="22"/>
        </w:rPr>
        <w:t xml:space="preserve">el sistema puede responder preguntas sobre qué hace cada módulo, pero no por qué está estructurado así ni qué decisiones lo condicionaron.</w:t>
      </w:r>
    </w:p>
    <w:p>
      <w:r>
        <w:rPr>
          <w:sz w:val="12"/>
          <w:szCs w:val="12"/>
        </w:rPr>
        <w:t xml:space="preserve"/>
      </w:r>
    </w:p>
    <w:p>
      <w:pPr>
        <w:spacing w:after="100" w:before="200"/>
      </w:pPr>
      <w:r>
        <w:rPr>
          <w:rFonts w:ascii="Arial" w:cs="Arial" w:eastAsia="Arial" w:hAnsi="Arial"/>
          <w:b/>
          <w:bCs/>
          <w:color w:val="2563EB"/>
          <w:sz w:val="24"/>
          <w:szCs w:val="24"/>
        </w:rPr>
        <w:t xml:space="preserve">Lo que los documentos no capturan — las zonas oscuras</w:t>
      </w:r>
    </w:p>
    <w:p>
      <w:pPr>
        <w:pStyle w:val="ListParagraph"/>
        <w:numPr>
          <w:ilvl w:val="0"/>
          <w:numId w:val="2"/>
        </w:numPr>
        <w:spacing w:after="60" w:before="60"/>
      </w:pPr>
      <w:r>
        <w:rPr>
          <w:rFonts w:ascii="Arial" w:cs="Arial" w:eastAsia="Arial" w:hAnsi="Arial"/>
          <w:b/>
          <w:bCs/>
          <w:color w:val="111827"/>
          <w:sz w:val="22"/>
          <w:szCs w:val="22"/>
        </w:rPr>
        <w:t xml:space="preserve">El contexto real de las decisiones técnicas: </w:t>
      </w:r>
      <w:r>
        <w:rPr>
          <w:rFonts w:ascii="Arial" w:cs="Arial" w:eastAsia="Arial" w:hAnsi="Arial"/>
          <w:color w:val="111827"/>
          <w:sz w:val="22"/>
          <w:szCs w:val="22"/>
        </w:rPr>
        <w:t xml:space="preserve">los ADRs dicen QUÉ se decidió, no el por qué organizativo. El ADR_001 registra que se eligió PostgreSQL sobre MongoDB, pero no que MongoDB fue descartado porque Banco Norte tiene una política de auditoría que excluye bases de datos sin soporte enterprise certificado. Sin ese contexto, la decisión parece arbitraria.</w:t>
      </w:r>
    </w:p>
    <w:p>
      <w:pPr>
        <w:pStyle w:val="ListParagraph"/>
        <w:numPr>
          <w:ilvl w:val="0"/>
          <w:numId w:val="2"/>
        </w:numPr>
        <w:spacing w:after="60" w:before="60"/>
      </w:pPr>
      <w:r>
        <w:rPr>
          <w:rFonts w:ascii="Arial" w:cs="Arial" w:eastAsia="Arial" w:hAnsi="Arial"/>
          <w:b/>
          <w:bCs/>
          <w:color w:val="111827"/>
          <w:sz w:val="22"/>
          <w:szCs w:val="22"/>
        </w:rPr>
        <w:t xml:space="preserve">La deuda técnica no documentada: </w:t>
      </w:r>
      <w:r>
        <w:rPr>
          <w:rFonts w:ascii="Arial" w:cs="Arial" w:eastAsia="Arial" w:hAnsi="Arial"/>
          <w:color w:val="111827"/>
          <w:sz w:val="22"/>
          <w:szCs w:val="22"/>
        </w:rPr>
        <w:t xml:space="preserve">el módulo de reconciliación tiene un workaround activo para gestionar transacciones duplicadas. Funciona, pero tiene un límite de rendimiento a 50.000 transacciones diarias. Nadie más en el equipo lo sabe. No está en ningún ticket, comentario de código ni documento.</w:t>
      </w:r>
    </w:p>
    <w:p>
      <w:pPr>
        <w:pStyle w:val="ListParagraph"/>
        <w:numPr>
          <w:ilvl w:val="0"/>
          <w:numId w:val="2"/>
        </w:numPr>
        <w:spacing w:after="60" w:before="60"/>
      </w:pPr>
      <w:r>
        <w:rPr>
          <w:rFonts w:ascii="Arial" w:cs="Arial" w:eastAsia="Arial" w:hAnsi="Arial"/>
          <w:b/>
          <w:bCs/>
          <w:color w:val="111827"/>
          <w:sz w:val="22"/>
          <w:szCs w:val="22"/>
        </w:rPr>
        <w:t xml:space="preserve">Los acuerdos informales con cliente y proveedores: </w:t>
      </w:r>
      <w:r>
        <w:rPr>
          <w:rFonts w:ascii="Arial" w:cs="Arial" w:eastAsia="Arial" w:hAnsi="Arial"/>
          <w:color w:val="111827"/>
          <w:sz w:val="22"/>
          <w:szCs w:val="22"/>
        </w:rPr>
        <w:t xml:space="preserve">el SLA con CloudBase tiene una cláusula de respuesta en 2 horas para incidencias P1 negociada verbalmente, con un contacto directo que hay que llamar saltándose el ticket oficial. El acuerdo de no escalar incidencias los viernes tampoco está en ningún sitio.</w:t>
      </w:r>
    </w:p>
    <w:p>
      <w:pPr>
        <w:pStyle w:val="ListParagraph"/>
        <w:numPr>
          <w:ilvl w:val="0"/>
          <w:numId w:val="2"/>
        </w:numPr>
        <w:spacing w:after="60" w:before="60"/>
      </w:pPr>
      <w:r>
        <w:rPr>
          <w:rFonts w:ascii="Arial" w:cs="Arial" w:eastAsia="Arial" w:hAnsi="Arial"/>
          <w:b/>
          <w:bCs/>
          <w:color w:val="111827"/>
          <w:sz w:val="22"/>
          <w:szCs w:val="22"/>
        </w:rPr>
        <w:t xml:space="preserve">La dinámica real de decisión en Banco Norte: </w:t>
      </w:r>
      <w:r>
        <w:rPr>
          <w:rFonts w:ascii="Arial" w:cs="Arial" w:eastAsia="Arial" w:hAnsi="Arial"/>
          <w:color w:val="111827"/>
          <w:sz w:val="22"/>
          <w:szCs w:val="22"/>
        </w:rPr>
        <w:t xml:space="preserve">los correos son con el CTO, pero quien aprueba o bloquea los contratos es Elena Ros, directora de Operaciones. No aparece en ningún documento ni correo procesado.</w:t>
      </w:r>
    </w:p>
    <w:p>
      <w:pPr>
        <w:pStyle w:val="ListParagraph"/>
        <w:numPr>
          <w:ilvl w:val="0"/>
          <w:numId w:val="2"/>
        </w:numPr>
        <w:spacing w:after="60" w:before="60"/>
      </w:pPr>
      <w:r>
        <w:rPr>
          <w:rFonts w:ascii="Arial" w:cs="Arial" w:eastAsia="Arial" w:hAnsi="Arial"/>
          <w:b/>
          <w:bCs/>
          <w:color w:val="111827"/>
          <w:sz w:val="22"/>
          <w:szCs w:val="22"/>
        </w:rPr>
        <w:t xml:space="preserve">El mapa real del equipo: </w:t>
      </w:r>
      <w:r>
        <w:rPr>
          <w:rFonts w:ascii="Arial" w:cs="Arial" w:eastAsia="Arial" w:hAnsi="Arial"/>
          <w:color w:val="111827"/>
          <w:sz w:val="22"/>
          <w:szCs w:val="22"/>
        </w:rPr>
        <w:t xml:space="preserve">Sara López figura como responsable del ETL pipeline en el plan, pero en la práctica necesita validación constante. Quien realmente domina ese código es Andrés Martín, aunque no sea el responsable formal.</w:t>
      </w:r>
    </w:p>
    <w:p>
      <w:pPr>
        <w:pStyle w:val="ListParagraph"/>
        <w:numPr>
          <w:ilvl w:val="0"/>
          <w:numId w:val="2"/>
        </w:numPr>
        <w:spacing w:after="60" w:before="60"/>
      </w:pPr>
      <w:r>
        <w:rPr>
          <w:rFonts w:ascii="Arial" w:cs="Arial" w:eastAsia="Arial" w:hAnsi="Arial"/>
          <w:b/>
          <w:bCs/>
          <w:color w:val="111827"/>
          <w:sz w:val="22"/>
          <w:szCs w:val="22"/>
        </w:rPr>
        <w:t xml:space="preserve">Los riesgos vivos: </w:t>
      </w:r>
      <w:r>
        <w:rPr>
          <w:rFonts w:ascii="Arial" w:cs="Arial" w:eastAsia="Arial" w:hAnsi="Arial"/>
          <w:color w:val="111827"/>
          <w:sz w:val="22"/>
          <w:szCs w:val="22"/>
        </w:rPr>
        <w:t xml:space="preserve">el API del cliente de RetailCo tiene un bug en la paginación que bloquea el hito de noviembre. Está en conversaciones, no en ningún documento.</w:t>
      </w:r>
    </w:p>
    <w:p>
      <w:pPr>
        <w:pStyle w:val="ListParagraph"/>
        <w:numPr>
          <w:ilvl w:val="0"/>
          <w:numId w:val="2"/>
        </w:numPr>
        <w:spacing w:after="60" w:before="60"/>
      </w:pPr>
      <w:r>
        <w:rPr>
          <w:rFonts w:ascii="Arial" w:cs="Arial" w:eastAsia="Arial" w:hAnsi="Arial"/>
          <w:b/>
          <w:bCs/>
          <w:color w:val="111827"/>
          <w:sz w:val="22"/>
          <w:szCs w:val="22"/>
        </w:rPr>
        <w:t xml:space="preserve">Una cuenta entera que nadie conoce: </w:t>
      </w:r>
      <w:r>
        <w:rPr>
          <w:rFonts w:ascii="Arial" w:cs="Arial" w:eastAsia="Arial" w:hAnsi="Arial"/>
          <w:color w:val="111827"/>
          <w:sz w:val="22"/>
          <w:szCs w:val="22"/>
        </w:rPr>
        <w:t xml:space="preserve">Logística Sur, gestionada por Juan de forma completamente informal, sin documentación. Si nadie lo sabe cuando se vaya, la cuenta se pierde.</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3C7" w:val="clear"/>
            <w:tcMar>
              <w:top w:type="dxa" w:w="180"/>
              <w:left w:type="dxa" w:w="280"/>
              <w:bottom w:type="dxa" w:w="180"/>
              <w:right w:type="dxa" w:w="280"/>
            </w:tcMar>
          </w:tcPr>
          <w:p>
            <w:pPr>
              <w:spacing w:after="100" w:before="0"/>
            </w:pPr>
            <w:r>
              <w:rPr>
                <w:rFonts w:ascii="Arial" w:cs="Arial" w:eastAsia="Arial" w:hAnsi="Arial"/>
                <w:b/>
                <w:bCs/>
                <w:color w:val="92400E"/>
                <w:sz w:val="22"/>
                <w:szCs w:val="22"/>
              </w:rPr>
              <w:t xml:space="preserve">Conclusión del análisis de cobertura inicial</w:t>
            </w:r>
          </w:p>
          <w:p>
            <w:pPr>
              <w:spacing w:after="40" w:before="40"/>
            </w:pPr>
            <w:r>
              <w:rPr>
                <w:rFonts w:ascii="Arial" w:cs="Arial" w:eastAsia="Arial" w:hAnsi="Arial"/>
                <w:color w:val="111827"/>
                <w:sz w:val="20"/>
                <w:szCs w:val="20"/>
              </w:rPr>
              <w:t xml:space="preserve">Los documentos cubren bien el QUÉ: arquitectura, alcance, código, estado de los proyectos.</w:t>
            </w:r>
          </w:p>
          <w:p>
            <w:pPr>
              <w:spacing w:after="40" w:before="40"/>
            </w:pPr>
            <w:r>
              <w:rPr>
                <w:rFonts w:ascii="Arial" w:cs="Arial" w:eastAsia="Arial" w:hAnsi="Arial"/>
                <w:color w:val="111827"/>
                <w:sz w:val="20"/>
                <w:szCs w:val="20"/>
              </w:rPr>
              <w:t xml:space="preserve">Las entrevistas tienen que cubrir el POR QUÉ (contexto de decisiones) y el CÓMO REAL</w:t>
            </w:r>
          </w:p>
          <w:p>
            <w:pPr>
              <w:spacing w:after="40" w:before="40"/>
            </w:pPr>
            <w:r>
              <w:rPr>
                <w:rFonts w:ascii="Arial" w:cs="Arial" w:eastAsia="Arial" w:hAnsi="Arial"/>
                <w:color w:val="111827"/>
                <w:sz w:val="20"/>
                <w:szCs w:val="20"/>
              </w:rPr>
              <w:t xml:space="preserve">(acuerdos informales, dinámicas de personas, riesgos silenciosos, deuda técnica oculta).</w:t>
            </w:r>
          </w:p>
          <w:p>
            <w:pPr>
              <w:spacing w:after="40" w:before="40"/>
            </w:pPr>
            <w:r>
              <w:rPr>
                <w:rFonts w:ascii="Arial" w:cs="Arial" w:eastAsia="Arial" w:hAnsi="Arial"/>
                <w:color w:val="111827"/>
                <w:sz w:val="20"/>
                <w:szCs w:val="20"/>
              </w:rPr>
              <w:t xml:space="preserve">Sin las entrevistas, el gemelo es un repositorio de documentación mejorado.</w:t>
            </w:r>
          </w:p>
          <w:p>
            <w:pPr>
              <w:spacing w:after="40" w:before="40"/>
            </w:pPr>
            <w:r>
              <w:rPr>
                <w:rFonts w:ascii="Arial" w:cs="Arial" w:eastAsia="Arial" w:hAnsi="Arial"/>
                <w:color w:val="111827"/>
                <w:sz w:val="20"/>
                <w:szCs w:val="20"/>
              </w:rPr>
              <w:t xml:space="preserve">Con ellas, es el conocimiento real de Juan.</w:t>
            </w:r>
          </w:p>
        </w:tc>
      </w:tr>
    </w:tbl>
    <w:p>
      <w:r>
        <w:rPr>
          <w:sz w:val="12"/>
          <w:szCs w:val="12"/>
        </w:rPr>
        <w:t xml:space="preserve"/>
      </w:r>
    </w:p>
    <w:p>
      <w:r>
        <w:br w:type="page"/>
      </w:r>
    </w:p>
    <w:p>
      <w:pPr>
        <w:pStyle w:val="Heading2"/>
        <w:spacing w:after="140" w:before="280"/>
      </w:pPr>
      <w:r>
        <w:rPr>
          <w:rFonts w:ascii="Arial" w:cs="Arial" w:eastAsia="Arial" w:hAnsi="Arial"/>
          <w:b/>
          <w:bCs/>
          <w:color w:val="1B2F4E"/>
          <w:sz w:val="28"/>
          <w:szCs w:val="28"/>
        </w:rPr>
        <w:t xml:space="preserve">7.4 Las tres sesiones de entrevista</w:t>
      </w:r>
    </w:p>
    <w:p>
      <w:pPr>
        <w:spacing w:after="100" w:before="80"/>
      </w:pPr>
      <w:r>
        <w:rPr>
          <w:rFonts w:ascii="Arial" w:cs="Arial" w:eastAsia="Arial" w:hAnsi="Arial"/>
          <w:color w:val="111827"/>
          <w:sz w:val="22"/>
          <w:szCs w:val="22"/>
        </w:rPr>
        <w:t xml:space="preserve">El sistema genera un plan de tres sesiones de 45 minutos distribuidas en la primera semana del preaviso, ordenadas por prioridad: primero lo que está más en riesgo (cuentas activas con compromisos vivos), luego los proyectos técnicos, y por último el equipo y la operativa.</w:t>
      </w:r>
    </w:p>
    <w:p>
      <w:r>
        <w:rPr>
          <w:sz w:val="12"/>
          <w:szCs w:val="12"/>
        </w:rPr>
        <w:t xml:space="preserve"/>
      </w:r>
    </w:p>
    <w:p>
      <w:pPr>
        <w:spacing w:after="100" w:before="200"/>
      </w:pPr>
      <w:r>
        <w:rPr>
          <w:rFonts w:ascii="Arial" w:cs="Arial" w:eastAsia="Arial" w:hAnsi="Arial"/>
          <w:b/>
          <w:bCs/>
          <w:color w:val="2563EB"/>
          <w:sz w:val="24"/>
          <w:szCs w:val="24"/>
        </w:rPr>
        <w:t xml:space="preserve">Sesión 1 — Relaciones con clientes (45 min)</w:t>
      </w:r>
    </w:p>
    <w:p>
      <w:pPr>
        <w:spacing w:after="100" w:before="80"/>
      </w:pPr>
      <w:r>
        <w:rPr>
          <w:rFonts w:ascii="Arial" w:cs="Arial" w:eastAsia="Arial" w:hAnsi="Arial"/>
          <w:color w:val="111827"/>
          <w:sz w:val="22"/>
          <w:szCs w:val="22"/>
        </w:rPr>
        <w:t xml:space="preserve">El agente abre con lo que ya sabe de los documentos y señala inmediatamente el hueco:</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2"/>
              <w:bottom w:val="none" w:color="FFFFFF" w:sz="0"/>
              <w:right w:val="none" w:color="FFFFFF" w:sz="0"/>
            </w:tcBorders>
            <w:shd w:fill="DBEAFE" w:val="clear"/>
            <w:tcMar>
              <w:top w:type="dxa" w:w="120"/>
              <w:left w:type="dxa" w:w="280"/>
              <w:bottom w:type="dxa" w:w="120"/>
              <w:right w:type="dxa" w:w="200"/>
            </w:tcMar>
          </w:tcPr>
          <w:p>
            <w:pPr>
              <w:spacing w:after="60" w:before="0"/>
            </w:pPr>
            <w:r>
              <w:rPr>
                <w:rFonts w:ascii="Arial" w:cs="Arial" w:eastAsia="Arial" w:hAnsi="Arial"/>
                <w:b/>
                <w:bCs/>
                <w:color w:val="2563EB"/>
                <w:sz w:val="19"/>
                <w:szCs w:val="19"/>
              </w:rPr>
              <w:t xml:space="preserve">KnowTwin</w:t>
            </w:r>
          </w:p>
          <w:p>
            <w:pPr>
              <w:spacing w:after="0" w:before="0"/>
            </w:pPr>
            <w:r>
              <w:rPr>
                <w:rFonts w:ascii="Arial" w:cs="Arial" w:eastAsia="Arial" w:hAnsi="Arial"/>
                <w:i w:val="false"/>
                <w:iCs w:val="false"/>
                <w:color w:val="111827"/>
                <w:sz w:val="20"/>
                <w:szCs w:val="20"/>
              </w:rPr>
              <w:t xml:space="preserve">He leído los correos con Banco Norte y las propuestas de renovación. Tengo documentado el alcance técnico y el proceso formal. Lo que me falta es el contexto de la relación: quiénes son las personas que realmente importan, cómo funciona la toma de decisiones en el cliente, y qué hay que saber para gestionar esta cuenta que no está escrito en ningún sitio.</w:t>
            </w:r>
          </w:p>
        </w:tc>
      </w:tr>
    </w:tbl>
    <w:p>
      <w:r>
        <w:rPr>
          <w:sz w:val="12"/>
          <w:szCs w:val="12"/>
        </w:rPr>
        <w:t xml:space="preserve"/>
      </w:r>
    </w:p>
    <w:p>
      <w:pPr>
        <w:spacing w:after="100" w:before="80"/>
      </w:pPr>
      <w:r>
        <w:rPr>
          <w:rFonts w:ascii="Arial" w:cs="Arial" w:eastAsia="Arial" w:hAnsi="Arial"/>
          <w:color w:val="111827"/>
          <w:sz w:val="22"/>
          <w:szCs w:val="22"/>
        </w:rPr>
        <w:t xml:space="preserve">Lo que el agente descubre en esta sesión:</w:t>
      </w:r>
    </w:p>
    <w:p>
      <w:r>
        <w:rPr>
          <w:sz w:val="12"/>
          <w:szCs w:val="12"/>
        </w:rPr>
        <w:t xml:space="preserve"/>
      </w:r>
    </w:p>
    <w:p>
      <w:pPr>
        <w:pStyle w:val="ListParagraph"/>
        <w:numPr>
          <w:ilvl w:val="0"/>
          <w:numId w:val="2"/>
        </w:numPr>
        <w:spacing w:after="60" w:before="60"/>
      </w:pPr>
      <w:r>
        <w:rPr>
          <w:rFonts w:ascii="Arial" w:cs="Arial" w:eastAsia="Arial" w:hAnsi="Arial"/>
          <w:b/>
          <w:bCs/>
          <w:color w:val="111827"/>
          <w:sz w:val="22"/>
          <w:szCs w:val="22"/>
        </w:rPr>
        <w:t xml:space="preserve">Elena Ros como contacto decisor </w:t>
      </w:r>
      <w:r>
        <w:rPr>
          <w:rFonts w:ascii="Arial" w:cs="Arial" w:eastAsia="Arial" w:hAnsi="Arial"/>
          <w:color w:val="111827"/>
          <w:sz w:val="22"/>
          <w:szCs w:val="22"/>
        </w:rPr>
        <w:t xml:space="preserve">— No aparece en ningún documento. El sistema crea un nodo Persona vinculado a Banco Norte con el contexto: pre-brief informal obligatorio antes de cualquier comité formal. Si no se hace, puede bloquear la aprobación durante semanas.</w:t>
      </w:r>
    </w:p>
    <w:p>
      <w:pPr>
        <w:pStyle w:val="ListParagraph"/>
        <w:numPr>
          <w:ilvl w:val="0"/>
          <w:numId w:val="2"/>
        </w:numPr>
        <w:spacing w:after="60" w:before="60"/>
      </w:pPr>
      <w:r>
        <w:rPr>
          <w:rFonts w:ascii="Arial" w:cs="Arial" w:eastAsia="Arial" w:hAnsi="Arial"/>
          <w:b/>
          <w:bCs/>
          <w:color w:val="111827"/>
          <w:sz w:val="22"/>
          <w:szCs w:val="22"/>
        </w:rPr>
        <w:t xml:space="preserve">El acuerdo de los viernes </w:t>
      </w:r>
      <w:r>
        <w:rPr>
          <w:rFonts w:ascii="Arial" w:cs="Arial" w:eastAsia="Arial" w:hAnsi="Arial"/>
          <w:color w:val="111827"/>
          <w:sz w:val="22"/>
          <w:szCs w:val="22"/>
        </w:rPr>
        <w:t xml:space="preserve">— No escalar incidencias de producción los viernes por la tarde. Surgió de un incidente que arruinó un fin de semana al cliente. Sin Juan, nadie lo sabe.</w:t>
      </w:r>
    </w:p>
    <w:p>
      <w:pPr>
        <w:pStyle w:val="ListParagraph"/>
        <w:numPr>
          <w:ilvl w:val="0"/>
          <w:numId w:val="2"/>
        </w:numPr>
        <w:spacing w:after="60" w:before="60"/>
      </w:pPr>
      <w:r>
        <w:rPr>
          <w:rFonts w:ascii="Arial" w:cs="Arial" w:eastAsia="Arial" w:hAnsi="Arial"/>
          <w:b/>
          <w:bCs/>
          <w:color w:val="111827"/>
          <w:sz w:val="22"/>
          <w:szCs w:val="22"/>
        </w:rPr>
        <w:t xml:space="preserve">El riesgo de renovación </w:t>
      </w:r>
      <w:r>
        <w:rPr>
          <w:rFonts w:ascii="Arial" w:cs="Arial" w:eastAsia="Arial" w:hAnsi="Arial"/>
          <w:color w:val="111827"/>
          <w:sz w:val="22"/>
          <w:szCs w:val="22"/>
        </w:rPr>
        <w:t xml:space="preserve">— El CTO ha cambiado de equipo directivo. La nueva dirección financiera tiene criterios más estrictos. Hay que preparar un análisis de ROI más detallado de lo habitual. No estaba en ningún correo.</w:t>
      </w:r>
    </w:p>
    <w:p>
      <w:pPr>
        <w:pStyle w:val="ListParagraph"/>
        <w:numPr>
          <w:ilvl w:val="0"/>
          <w:numId w:val="2"/>
        </w:numPr>
        <w:spacing w:after="60" w:before="60"/>
      </w:pPr>
      <w:r>
        <w:rPr>
          <w:rFonts w:ascii="Arial" w:cs="Arial" w:eastAsia="Arial" w:hAnsi="Arial"/>
          <w:b/>
          <w:bCs/>
          <w:color w:val="111827"/>
          <w:sz w:val="22"/>
          <w:szCs w:val="22"/>
        </w:rPr>
        <w:t xml:space="preserve">Logística Sur — cuenta nueva </w:t>
      </w:r>
      <w:r>
        <w:rPr>
          <w:rFonts w:ascii="Arial" w:cs="Arial" w:eastAsia="Arial" w:hAnsi="Arial"/>
          <w:color w:val="111827"/>
          <w:sz w:val="22"/>
          <w:szCs w:val="22"/>
        </w:rPr>
        <w:t xml:space="preserve">— Juan la menciona al hablar de sus cuentas. El sistema no tenía conocimiento de ella. La incorpora como nodo nuevo y la añade como tema de la siguiente sesión.</w:t>
      </w:r>
    </w:p>
    <w:p>
      <w:r>
        <w:rPr>
          <w:sz w:val="12"/>
          <w:szCs w:val="12"/>
        </w:rPr>
        <w:t xml:space="preserve"/>
      </w:r>
    </w:p>
    <w:p>
      <w:pPr>
        <w:spacing w:after="100" w:before="80"/>
      </w:pPr>
      <w:r>
        <w:rPr>
          <w:rFonts w:ascii="Arial" w:cs="Arial" w:eastAsia="Arial" w:hAnsi="Arial"/>
          <w:b/>
          <w:bCs/>
          <w:color w:val="111827"/>
          <w:sz w:val="22"/>
          <w:szCs w:val="22"/>
        </w:rPr>
        <w:t xml:space="preserve">Resultado: </w:t>
      </w:r>
      <w:r>
        <w:rPr>
          <w:rFonts w:ascii="Arial" w:cs="Arial" w:eastAsia="Arial" w:hAnsi="Arial"/>
          <w:color w:val="111827"/>
          <w:sz w:val="22"/>
          <w:szCs w:val="22"/>
        </w:rPr>
        <w:t xml:space="preserve">4 elementos nuevos en el grafo. Cobertura de Banco Norte sube de 35% a 78%.</w:t>
      </w:r>
    </w:p>
    <w:p>
      <w:r>
        <w:rPr>
          <w:sz w:val="12"/>
          <w:szCs w:val="12"/>
        </w:rPr>
        <w:t xml:space="preserve"/>
      </w:r>
    </w:p>
    <w:p>
      <w:pPr>
        <w:spacing w:after="100" w:before="200"/>
      </w:pPr>
      <w:r>
        <w:rPr>
          <w:rFonts w:ascii="Arial" w:cs="Arial" w:eastAsia="Arial" w:hAnsi="Arial"/>
          <w:b/>
          <w:bCs/>
          <w:color w:val="2563EB"/>
          <w:sz w:val="24"/>
          <w:szCs w:val="24"/>
        </w:rPr>
        <w:t xml:space="preserve">Sesión 2 — Proyectos técnicos y deuda técnica (45 min)</w:t>
      </w:r>
    </w:p>
    <w:p>
      <w:pPr>
        <w:spacing w:after="100" w:before="80"/>
      </w:pPr>
      <w:r>
        <w:rPr>
          <w:rFonts w:ascii="Arial" w:cs="Arial" w:eastAsia="Arial" w:hAnsi="Arial"/>
          <w:color w:val="111827"/>
          <w:sz w:val="22"/>
          <w:szCs w:val="22"/>
        </w:rPr>
        <w:t xml:space="preserve">El agente arranca con lo que sí sabe del código y los ADRs, y va directo a lo que no puede inferir de ellos:</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2"/>
              <w:bottom w:val="none" w:color="FFFFFF" w:sz="0"/>
              <w:right w:val="none" w:color="FFFFFF" w:sz="0"/>
            </w:tcBorders>
            <w:shd w:fill="DBEAFE" w:val="clear"/>
            <w:tcMar>
              <w:top w:type="dxa" w:w="120"/>
              <w:left w:type="dxa" w:w="280"/>
              <w:bottom w:type="dxa" w:w="120"/>
              <w:right w:type="dxa" w:w="200"/>
            </w:tcMar>
          </w:tcPr>
          <w:p>
            <w:pPr>
              <w:spacing w:after="60" w:before="0"/>
            </w:pPr>
            <w:r>
              <w:rPr>
                <w:rFonts w:ascii="Arial" w:cs="Arial" w:eastAsia="Arial" w:hAnsi="Arial"/>
                <w:b/>
                <w:bCs/>
                <w:color w:val="2563EB"/>
                <w:sz w:val="19"/>
                <w:szCs w:val="19"/>
              </w:rPr>
              <w:t xml:space="preserve">KnowTwin</w:t>
            </w:r>
          </w:p>
          <w:p>
            <w:pPr>
              <w:spacing w:after="0" w:before="0"/>
            </w:pPr>
            <w:r>
              <w:rPr>
                <w:rFonts w:ascii="Arial" w:cs="Arial" w:eastAsia="Arial" w:hAnsi="Arial"/>
                <w:i w:val="false"/>
                <w:iCs w:val="false"/>
                <w:color w:val="111827"/>
                <w:sz w:val="20"/>
                <w:szCs w:val="20"/>
              </w:rPr>
              <w:t xml:space="preserve">He leído los ADRs y el código del servicio de reconciliación. Entiendo la arquitectura y las decisiones documentadas. Hay dos cosas que no me quedan claras: el módulo de gestión de duplicados tiene una estructura no estándar, y el ADR de base de datos no explica el contexto que llevó a elegir PostgreSQL. Empecemos por el módulo de reconciliación.</w:t>
            </w:r>
          </w:p>
        </w:tc>
      </w:tr>
    </w:tbl>
    <w:p>
      <w:r>
        <w:rPr>
          <w:sz w:val="12"/>
          <w:szCs w:val="12"/>
        </w:rPr>
        <w:t xml:space="preserve"/>
      </w:r>
    </w:p>
    <w:p>
      <w:pPr>
        <w:spacing w:after="100" w:before="80"/>
      </w:pPr>
      <w:r>
        <w:rPr>
          <w:rFonts w:ascii="Arial" w:cs="Arial" w:eastAsia="Arial" w:hAnsi="Arial"/>
          <w:color w:val="111827"/>
          <w:sz w:val="22"/>
          <w:szCs w:val="22"/>
        </w:rPr>
        <w:t xml:space="preserve">Lo que el agente descubre en esta sesión:</w:t>
      </w:r>
    </w:p>
    <w:p>
      <w:r>
        <w:rPr>
          <w:sz w:val="12"/>
          <w:szCs w:val="12"/>
        </w:rPr>
        <w:t xml:space="preserve"/>
      </w:r>
    </w:p>
    <w:p>
      <w:pPr>
        <w:pStyle w:val="ListParagraph"/>
        <w:numPr>
          <w:ilvl w:val="0"/>
          <w:numId w:val="2"/>
        </w:numPr>
        <w:spacing w:after="60" w:before="60"/>
      </w:pPr>
      <w:r>
        <w:rPr>
          <w:rFonts w:ascii="Arial" w:cs="Arial" w:eastAsia="Arial" w:hAnsi="Arial"/>
          <w:b/>
          <w:bCs/>
          <w:color w:val="111827"/>
          <w:sz w:val="22"/>
          <w:szCs w:val="22"/>
        </w:rPr>
        <w:t xml:space="preserve">La deuda técnica con umbral de volumen </w:t>
      </w:r>
      <w:r>
        <w:rPr>
          <w:rFonts w:ascii="Arial" w:cs="Arial" w:eastAsia="Arial" w:hAnsi="Arial"/>
          <w:color w:val="111827"/>
          <w:sz w:val="22"/>
          <w:szCs w:val="22"/>
        </w:rPr>
        <w:t xml:space="preserve">— El workaround de duplicados funciona, pero degrada el rendimiento por encima de 50.000 transacciones diarias. Banco Norte está cerca de ese umbral. Nadie más en el equipo lo sabe.</w:t>
      </w:r>
    </w:p>
    <w:p>
      <w:pPr>
        <w:pStyle w:val="ListParagraph"/>
        <w:numPr>
          <w:ilvl w:val="0"/>
          <w:numId w:val="2"/>
        </w:numPr>
        <w:spacing w:after="60" w:before="60"/>
      </w:pPr>
      <w:r>
        <w:rPr>
          <w:rFonts w:ascii="Arial" w:cs="Arial" w:eastAsia="Arial" w:hAnsi="Arial"/>
          <w:b/>
          <w:bCs/>
          <w:color w:val="111827"/>
          <w:sz w:val="22"/>
          <w:szCs w:val="22"/>
        </w:rPr>
        <w:t xml:space="preserve">El contexto real del ADR de base de datos </w:t>
      </w:r>
      <w:r>
        <w:rPr>
          <w:rFonts w:ascii="Arial" w:cs="Arial" w:eastAsia="Arial" w:hAnsi="Arial"/>
          <w:color w:val="111827"/>
          <w:sz w:val="22"/>
          <w:szCs w:val="22"/>
        </w:rPr>
        <w:t xml:space="preserve">— No fue una decisión técnica. Banco Norte tiene política de auditoría que excluye bases de datos sin soporte enterprise certificado. MongoDB quedó fuera por eso. El ADR sin este contexto es misleading.</w:t>
      </w:r>
    </w:p>
    <w:p>
      <w:pPr>
        <w:pStyle w:val="ListParagraph"/>
        <w:numPr>
          <w:ilvl w:val="0"/>
          <w:numId w:val="2"/>
        </w:numPr>
        <w:spacing w:after="60" w:before="60"/>
      </w:pPr>
      <w:r>
        <w:rPr>
          <w:rFonts w:ascii="Arial" w:cs="Arial" w:eastAsia="Arial" w:hAnsi="Arial"/>
          <w:b/>
          <w:bCs/>
          <w:color w:val="111827"/>
          <w:sz w:val="22"/>
          <w:szCs w:val="22"/>
        </w:rPr>
        <w:t xml:space="preserve">El riesgo del hito de noviembre en RetailCo </w:t>
      </w:r>
      <w:r>
        <w:rPr>
          <w:rFonts w:ascii="Arial" w:cs="Arial" w:eastAsia="Arial" w:hAnsi="Arial"/>
          <w:color w:val="111827"/>
          <w:sz w:val="22"/>
          <w:szCs w:val="22"/>
        </w:rPr>
        <w:t xml:space="preserve">— El API del cliente tiene un bug en la paginación que el equipo de RetailCo no ha reconocido oficialmente. Juan lleva dos semanas esperando respuesta. Si no se resuelve, el hito se retrasa.</w:t>
      </w:r>
    </w:p>
    <w:p>
      <w:pPr>
        <w:pStyle w:val="ListParagraph"/>
        <w:numPr>
          <w:ilvl w:val="0"/>
          <w:numId w:val="2"/>
        </w:numPr>
        <w:spacing w:after="60" w:before="60"/>
      </w:pPr>
      <w:r>
        <w:rPr>
          <w:rFonts w:ascii="Arial" w:cs="Arial" w:eastAsia="Arial" w:hAnsi="Arial"/>
          <w:b/>
          <w:bCs/>
          <w:color w:val="111827"/>
          <w:sz w:val="22"/>
          <w:szCs w:val="22"/>
        </w:rPr>
        <w:t xml:space="preserve">El porqué de los pasos raros del checklist </w:t>
      </w:r>
      <w:r>
        <w:rPr>
          <w:rFonts w:ascii="Arial" w:cs="Arial" w:eastAsia="Arial" w:hAnsi="Arial"/>
          <w:color w:val="111827"/>
          <w:sz w:val="22"/>
          <w:szCs w:val="22"/>
        </w:rPr>
        <w:t xml:space="preserve">— Dos pasos no intuitivos del checklist de despliegue de Banco Norte responden a limitaciones del entorno del cliente no documentadas en ningún sitio.</w:t>
      </w:r>
    </w:p>
    <w:p>
      <w:r>
        <w:rPr>
          <w:sz w:val="12"/>
          <w:szCs w:val="12"/>
        </w:rPr>
        <w:t xml:space="preserve"/>
      </w:r>
    </w:p>
    <w:p>
      <w:pPr>
        <w:spacing w:after="100" w:before="80"/>
      </w:pPr>
      <w:r>
        <w:rPr>
          <w:rFonts w:ascii="Arial" w:cs="Arial" w:eastAsia="Arial" w:hAnsi="Arial"/>
          <w:b/>
          <w:bCs/>
          <w:color w:val="111827"/>
          <w:sz w:val="22"/>
          <w:szCs w:val="22"/>
        </w:rPr>
        <w:t xml:space="preserve">Resultado: </w:t>
      </w:r>
      <w:r>
        <w:rPr>
          <w:rFonts w:ascii="Arial" w:cs="Arial" w:eastAsia="Arial" w:hAnsi="Arial"/>
          <w:color w:val="111827"/>
          <w:sz w:val="22"/>
          <w:szCs w:val="22"/>
        </w:rPr>
        <w:t xml:space="preserve">3 riesgos registrados con contexto completo. Contexto real de 2 decisiones técnicas corregido. Cobertura técnica de proyectos sube de 40% a 81%.</w:t>
      </w:r>
    </w:p>
    <w:p>
      <w:r>
        <w:rPr>
          <w:sz w:val="12"/>
          <w:szCs w:val="12"/>
        </w:rPr>
        <w:t xml:space="preserve"/>
      </w:r>
    </w:p>
    <w:p>
      <w:pPr>
        <w:spacing w:after="100" w:before="200"/>
      </w:pPr>
      <w:r>
        <w:rPr>
          <w:rFonts w:ascii="Arial" w:cs="Arial" w:eastAsia="Arial" w:hAnsi="Arial"/>
          <w:b/>
          <w:bCs/>
          <w:color w:val="2563EB"/>
          <w:sz w:val="24"/>
          <w:szCs w:val="24"/>
        </w:rPr>
        <w:t xml:space="preserve">Sesión 3 — Equipo, operativa y cuenta nueva (40 min)</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2"/>
              <w:bottom w:val="none" w:color="FFFFFF" w:sz="0"/>
              <w:right w:val="none" w:color="FFFFFF" w:sz="0"/>
            </w:tcBorders>
            <w:shd w:fill="DBEAFE" w:val="clear"/>
            <w:tcMar>
              <w:top w:type="dxa" w:w="120"/>
              <w:left w:type="dxa" w:w="280"/>
              <w:bottom w:type="dxa" w:w="120"/>
              <w:right w:type="dxa" w:w="200"/>
            </w:tcMar>
          </w:tcPr>
          <w:p>
            <w:pPr>
              <w:spacing w:after="60" w:before="0"/>
            </w:pPr>
            <w:r>
              <w:rPr>
                <w:rFonts w:ascii="Arial" w:cs="Arial" w:eastAsia="Arial" w:hAnsi="Arial"/>
                <w:b/>
                <w:bCs/>
                <w:color w:val="2563EB"/>
                <w:sz w:val="19"/>
                <w:szCs w:val="19"/>
              </w:rPr>
              <w:t xml:space="preserve">KnowTwin</w:t>
            </w:r>
          </w:p>
          <w:p>
            <w:pPr>
              <w:spacing w:after="0" w:before="0"/>
            </w:pPr>
            <w:r>
              <w:rPr>
                <w:rFonts w:ascii="Arial" w:cs="Arial" w:eastAsia="Arial" w:hAnsi="Arial"/>
                <w:i w:val="false"/>
                <w:iCs w:val="false"/>
                <w:color w:val="111827"/>
                <w:sz w:val="20"/>
                <w:szCs w:val="20"/>
              </w:rPr>
              <w:t xml:space="preserve">Hoy quiero entender cómo funciona el equipo en la práctica: quién sabe realmente de qué, cómo se toman las decisiones de delivery, qué es lo que alguien tiene que saber para no meter la pata y que no está en ningún organigrama. Y si nos queda tiempo, necesito que me cuentes lo esencial de Logística Sur antes de que te vayas.</w:t>
            </w:r>
          </w:p>
        </w:tc>
      </w:tr>
    </w:tbl>
    <w:p>
      <w:r>
        <w:rPr>
          <w:sz w:val="12"/>
          <w:szCs w:val="12"/>
        </w:rPr>
        <w:t xml:space="preserve"/>
      </w:r>
    </w:p>
    <w:p>
      <w:pPr>
        <w:spacing w:after="100" w:before="80"/>
      </w:pPr>
      <w:r>
        <w:rPr>
          <w:rFonts w:ascii="Arial" w:cs="Arial" w:eastAsia="Arial" w:hAnsi="Arial"/>
          <w:color w:val="111827"/>
          <w:sz w:val="22"/>
          <w:szCs w:val="22"/>
        </w:rPr>
        <w:t xml:space="preserve">Lo que el agente descubre en esta sesión:</w:t>
      </w:r>
    </w:p>
    <w:p>
      <w:r>
        <w:rPr>
          <w:sz w:val="12"/>
          <w:szCs w:val="12"/>
        </w:rPr>
        <w:t xml:space="preserve"/>
      </w:r>
    </w:p>
    <w:p>
      <w:pPr>
        <w:pStyle w:val="ListParagraph"/>
        <w:numPr>
          <w:ilvl w:val="0"/>
          <w:numId w:val="2"/>
        </w:numPr>
        <w:spacing w:after="60" w:before="60"/>
      </w:pPr>
      <w:r>
        <w:rPr>
          <w:rFonts w:ascii="Arial" w:cs="Arial" w:eastAsia="Arial" w:hAnsi="Arial"/>
          <w:b/>
          <w:bCs/>
          <w:color w:val="111827"/>
          <w:sz w:val="22"/>
          <w:szCs w:val="22"/>
        </w:rPr>
        <w:t xml:space="preserve">El mapa real del equipo </w:t>
      </w:r>
      <w:r>
        <w:rPr>
          <w:rFonts w:ascii="Arial" w:cs="Arial" w:eastAsia="Arial" w:hAnsi="Arial"/>
          <w:color w:val="111827"/>
          <w:sz w:val="22"/>
          <w:szCs w:val="22"/>
        </w:rPr>
        <w:t xml:space="preserve">— Sara López figura como responsable del ETL pipeline, pero necesita validación constante. Quien realmente domina ese código es Andrés Martín, aunque no sea el responsable formal. Esto es crítico para el manager que redistribuya responsabilidades.</w:t>
      </w:r>
    </w:p>
    <w:p>
      <w:pPr>
        <w:pStyle w:val="ListParagraph"/>
        <w:numPr>
          <w:ilvl w:val="0"/>
          <w:numId w:val="2"/>
        </w:numPr>
        <w:spacing w:after="60" w:before="60"/>
      </w:pPr>
      <w:r>
        <w:rPr>
          <w:rFonts w:ascii="Arial" w:cs="Arial" w:eastAsia="Arial" w:hAnsi="Arial"/>
          <w:b/>
          <w:bCs/>
          <w:color w:val="111827"/>
          <w:sz w:val="22"/>
          <w:szCs w:val="22"/>
        </w:rPr>
        <w:t xml:space="preserve">El acuerdo verbal con CloudBase </w:t>
      </w:r>
      <w:r>
        <w:rPr>
          <w:rFonts w:ascii="Arial" w:cs="Arial" w:eastAsia="Arial" w:hAnsi="Arial"/>
          <w:color w:val="111827"/>
          <w:sz w:val="22"/>
          <w:szCs w:val="22"/>
        </w:rPr>
        <w:t xml:space="preserve">— SLA con cláusula de 2 horas para P1 no recogida en el contrato. El contacto directo es Roberto Vidal (rvidal@cloudbase.io). Hay que llamarle directamente, sin ticket oficial.</w:t>
      </w:r>
    </w:p>
    <w:p>
      <w:pPr>
        <w:pStyle w:val="ListParagraph"/>
        <w:numPr>
          <w:ilvl w:val="0"/>
          <w:numId w:val="2"/>
        </w:numPr>
        <w:spacing w:after="60" w:before="60"/>
      </w:pPr>
      <w:r>
        <w:rPr>
          <w:rFonts w:ascii="Arial" w:cs="Arial" w:eastAsia="Arial" w:hAnsi="Arial"/>
          <w:b/>
          <w:bCs/>
          <w:color w:val="111827"/>
          <w:sz w:val="22"/>
          <w:szCs w:val="22"/>
        </w:rPr>
        <w:t xml:space="preserve">Logística Sur </w:t>
      </w:r>
      <w:r>
        <w:rPr>
          <w:rFonts w:ascii="Arial" w:cs="Arial" w:eastAsia="Arial" w:hAnsi="Arial"/>
          <w:color w:val="111827"/>
          <w:sz w:val="22"/>
          <w:szCs w:val="22"/>
        </w:rPr>
        <w:t xml:space="preserve">— Cuenta gestionada completamente de forma informal por Juan. No hay propuesta firmada, solo un correo de intención. Hay una reunión pendiente para formalizar. Si nadie lo sabe cuando Juan se vaya, la cuenta se pierde.</w:t>
      </w:r>
    </w:p>
    <w:p>
      <w:r>
        <w:rPr>
          <w:sz w:val="12"/>
          <w:szCs w:val="12"/>
        </w:rPr>
        <w:t xml:space="preserve"/>
      </w:r>
    </w:p>
    <w:p>
      <w:pPr>
        <w:spacing w:after="100" w:before="80"/>
      </w:pPr>
      <w:r>
        <w:rPr>
          <w:rFonts w:ascii="Arial" w:cs="Arial" w:eastAsia="Arial" w:hAnsi="Arial"/>
          <w:b/>
          <w:bCs/>
          <w:color w:val="111827"/>
          <w:sz w:val="22"/>
          <w:szCs w:val="22"/>
        </w:rPr>
        <w:t xml:space="preserve">Resultado: </w:t>
      </w:r>
      <w:r>
        <w:rPr>
          <w:rFonts w:ascii="Arial" w:cs="Arial" w:eastAsia="Arial" w:hAnsi="Arial"/>
          <w:color w:val="111827"/>
          <w:sz w:val="22"/>
          <w:szCs w:val="22"/>
        </w:rPr>
        <w:t xml:space="preserve">mapa real del equipo documentado, acuerdo CloudBase registrado, cuenta Logística Sur incorporada con estado y próximos pasos. Cobertura global: 84%.</w:t>
      </w:r>
    </w:p>
    <w:p>
      <w:r>
        <w:rPr>
          <w:sz w:val="12"/>
          <w:szCs w:val="12"/>
        </w:rPr>
        <w:t xml:space="preserve"/>
      </w:r>
    </w:p>
    <w:p>
      <w:r>
        <w:br w:type="page"/>
      </w:r>
    </w:p>
    <w:p>
      <w:pPr>
        <w:pStyle w:val="Heading2"/>
        <w:spacing w:after="140" w:before="280"/>
      </w:pPr>
      <w:r>
        <w:rPr>
          <w:rFonts w:ascii="Arial" w:cs="Arial" w:eastAsia="Arial" w:hAnsi="Arial"/>
          <w:b/>
          <w:bCs/>
          <w:color w:val="1B2F4E"/>
          <w:sz w:val="28"/>
          <w:szCs w:val="28"/>
        </w:rPr>
        <w:t xml:space="preserve">7.5 El gemelo resultante — qué puede responder</w:t>
      </w:r>
    </w:p>
    <w:p>
      <w:pPr>
        <w:spacing w:after="100" w:before="80"/>
      </w:pPr>
      <w:r>
        <w:rPr>
          <w:rFonts w:ascii="Arial" w:cs="Arial" w:eastAsia="Arial" w:hAnsi="Arial"/>
          <w:color w:val="111827"/>
          <w:sz w:val="22"/>
          <w:szCs w:val="22"/>
        </w:rPr>
        <w:t xml:space="preserve">Tras las tres sesiones y la ingesta documental, el gemelo de Juan está activo. A continuación, ejemplos reales del conocimiento capturado y cómo responde a preguntas concretas.</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12"/>
              <w:bottom w:val="none" w:color="FFFFFF" w:sz="0"/>
              <w:right w:val="none" w:color="FFFFFF" w:sz="0"/>
            </w:tcBorders>
            <w:shd w:fill="EDE9FE" w:val="clear"/>
            <w:tcMar>
              <w:top w:type="dxa" w:w="120"/>
              <w:left w:type="dxa" w:w="280"/>
              <w:bottom w:type="dxa" w:w="120"/>
              <w:right w:type="dxa" w:w="200"/>
            </w:tcMar>
          </w:tcPr>
          <w:p>
            <w:pPr>
              <w:spacing w:after="60" w:before="0"/>
            </w:pPr>
            <w:r>
              <w:rPr>
                <w:rFonts w:ascii="Arial" w:cs="Arial" w:eastAsia="Arial" w:hAnsi="Arial"/>
                <w:b/>
                <w:bCs/>
                <w:color w:val="5B21B6"/>
                <w:sz w:val="19"/>
                <w:szCs w:val="19"/>
              </w:rPr>
              <w:t xml:space="preserve">Sustituto</w:t>
            </w:r>
          </w:p>
          <w:p>
            <w:pPr>
              <w:spacing w:after="0" w:before="0"/>
            </w:pPr>
            <w:r>
              <w:rPr>
                <w:rFonts w:ascii="Arial" w:cs="Arial" w:eastAsia="Arial" w:hAnsi="Arial"/>
                <w:i w:val="false"/>
                <w:iCs w:val="false"/>
                <w:color w:val="111827"/>
                <w:sz w:val="20"/>
                <w:szCs w:val="20"/>
              </w:rPr>
              <w:t xml:space="preserve">¿Qué tengo que saber antes de mi primera llamada con Banco Norte la semana que viene?</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4748B" w:sz="12"/>
              <w:bottom w:val="none" w:color="FFFFFF" w:sz="0"/>
              <w:right w:val="none" w:color="FFFFFF" w:sz="0"/>
            </w:tcBorders>
            <w:shd w:fill="F1F5F9" w:val="clear"/>
            <w:tcMar>
              <w:top w:type="dxa" w:w="120"/>
              <w:left w:type="dxa" w:w="280"/>
              <w:bottom w:type="dxa" w:w="120"/>
              <w:right w:type="dxa" w:w="200"/>
            </w:tcMar>
          </w:tcPr>
          <w:p>
            <w:pPr>
              <w:spacing w:after="60" w:before="0"/>
            </w:pPr>
            <w:r>
              <w:rPr>
                <w:rFonts w:ascii="Arial" w:cs="Arial" w:eastAsia="Arial" w:hAnsi="Arial"/>
                <w:b/>
                <w:bCs/>
                <w:color w:val="64748B"/>
                <w:sz w:val="19"/>
                <w:szCs w:val="19"/>
              </w:rPr>
              <w:t xml:space="preserve">Gemelo de Juan</w:t>
            </w:r>
          </w:p>
          <w:p>
            <w:pPr>
              <w:spacing w:after="0" w:before="0"/>
            </w:pPr>
            <w:r>
              <w:rPr>
                <w:rFonts w:ascii="Arial" w:cs="Arial" w:eastAsia="Arial" w:hAnsi="Arial"/>
                <w:i w:val="false"/>
                <w:iCs w:val="false"/>
                <w:color w:val="111827"/>
                <w:sz w:val="20"/>
                <w:szCs w:val="20"/>
              </w:rPr>
              <w:t xml:space="preserve">La cuenta está en renovación de contrato. El interlocutor oficial es el CTO, pero quien decide realmente es Elena Ros, directora de Operaciones. Es obligatorio hacer un briefing informal con ella antes de cualquier comité formal — sin eso puede bloquear la aprobación durante semanas. [Sesión 1, 3 jun 2026]
La nueva dirección financiera del cliente tiene criterios de aprobación más estrictos. Prepara un análisis de ROI más detallado de lo habitual. [Sesión 1, 3 jun 2026]
Acuerdo operativo vigente: no escalar incidencias de producción los viernes por la tarde. [Sesión 1, 3 jun 2026]</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12"/>
              <w:bottom w:val="none" w:color="FFFFFF" w:sz="0"/>
              <w:right w:val="none" w:color="FFFFFF" w:sz="0"/>
            </w:tcBorders>
            <w:shd w:fill="EDE9FE" w:val="clear"/>
            <w:tcMar>
              <w:top w:type="dxa" w:w="120"/>
              <w:left w:type="dxa" w:w="280"/>
              <w:bottom w:type="dxa" w:w="120"/>
              <w:right w:type="dxa" w:w="200"/>
            </w:tcMar>
          </w:tcPr>
          <w:p>
            <w:pPr>
              <w:spacing w:after="60" w:before="0"/>
            </w:pPr>
            <w:r>
              <w:rPr>
                <w:rFonts w:ascii="Arial" w:cs="Arial" w:eastAsia="Arial" w:hAnsi="Arial"/>
                <w:b/>
                <w:bCs/>
                <w:color w:val="5B21B6"/>
                <w:sz w:val="19"/>
                <w:szCs w:val="19"/>
              </w:rPr>
              <w:t xml:space="preserve">Equipo</w:t>
            </w:r>
          </w:p>
          <w:p>
            <w:pPr>
              <w:spacing w:after="0" w:before="0"/>
            </w:pPr>
            <w:r>
              <w:rPr>
                <w:rFonts w:ascii="Arial" w:cs="Arial" w:eastAsia="Arial" w:hAnsi="Arial"/>
                <w:i w:val="false"/>
                <w:iCs w:val="false"/>
                <w:color w:val="111827"/>
                <w:sz w:val="20"/>
                <w:szCs w:val="20"/>
              </w:rPr>
              <w:t xml:space="preserve">¿Por qué usamos PostgreSQL en el servicio de pagos y no MongoDB como en el resto de proyectos?</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4748B" w:sz="12"/>
              <w:bottom w:val="none" w:color="FFFFFF" w:sz="0"/>
              <w:right w:val="none" w:color="FFFFFF" w:sz="0"/>
            </w:tcBorders>
            <w:shd w:fill="F1F5F9" w:val="clear"/>
            <w:tcMar>
              <w:top w:type="dxa" w:w="120"/>
              <w:left w:type="dxa" w:w="280"/>
              <w:bottom w:type="dxa" w:w="120"/>
              <w:right w:type="dxa" w:w="200"/>
            </w:tcMar>
          </w:tcPr>
          <w:p>
            <w:pPr>
              <w:spacing w:after="60" w:before="0"/>
            </w:pPr>
            <w:r>
              <w:rPr>
                <w:rFonts w:ascii="Arial" w:cs="Arial" w:eastAsia="Arial" w:hAnsi="Arial"/>
                <w:b/>
                <w:bCs/>
                <w:color w:val="64748B"/>
                <w:sz w:val="19"/>
                <w:szCs w:val="19"/>
              </w:rPr>
              <w:t xml:space="preserve">Gemelo de Juan</w:t>
            </w:r>
          </w:p>
          <w:p>
            <w:pPr>
              <w:spacing w:after="0" w:before="0"/>
            </w:pPr>
            <w:r>
              <w:rPr>
                <w:rFonts w:ascii="Arial" w:cs="Arial" w:eastAsia="Arial" w:hAnsi="Arial"/>
                <w:i w:val="false"/>
                <w:iCs w:val="false"/>
                <w:color w:val="111827"/>
                <w:sz w:val="20"/>
                <w:szCs w:val="20"/>
              </w:rPr>
              <w:t xml:space="preserve">La decisión no fue técnica. Banco Norte tiene una política de auditoría que excluye bases de datos sin soporte enterprise certificado, y MongoDB no cumplía ese criterio. PostgreSQL fue la única opción que pasó el filtro de seguridad del cliente. Si en un futuro proyecto se quiere usar MongoDB con este cliente, hay que pasar de nuevo por ese proceso de certificación. [Sesión 2, 5 jun 2026 + ADR_001_decision_base_datos.docx]</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12"/>
              <w:bottom w:val="none" w:color="FFFFFF" w:sz="0"/>
              <w:right w:val="none" w:color="FFFFFF" w:sz="0"/>
            </w:tcBorders>
            <w:shd w:fill="EDE9FE" w:val="clear"/>
            <w:tcMar>
              <w:top w:type="dxa" w:w="120"/>
              <w:left w:type="dxa" w:w="280"/>
              <w:bottom w:type="dxa" w:w="120"/>
              <w:right w:type="dxa" w:w="200"/>
            </w:tcMar>
          </w:tcPr>
          <w:p>
            <w:pPr>
              <w:spacing w:after="60" w:before="0"/>
            </w:pPr>
            <w:r>
              <w:rPr>
                <w:rFonts w:ascii="Arial" w:cs="Arial" w:eastAsia="Arial" w:hAnsi="Arial"/>
                <w:b/>
                <w:bCs/>
                <w:color w:val="5B21B6"/>
                <w:sz w:val="19"/>
                <w:szCs w:val="19"/>
              </w:rPr>
              <w:t xml:space="preserve">Manager</w:t>
            </w:r>
          </w:p>
          <w:p>
            <w:pPr>
              <w:spacing w:after="0" w:before="0"/>
            </w:pPr>
            <w:r>
              <w:rPr>
                <w:rFonts w:ascii="Arial" w:cs="Arial" w:eastAsia="Arial" w:hAnsi="Arial"/>
                <w:i w:val="false"/>
                <w:iCs w:val="false"/>
                <w:color w:val="111827"/>
                <w:sz w:val="20"/>
                <w:szCs w:val="20"/>
              </w:rPr>
              <w:t xml:space="preserve">¿Hay riesgos técnicos en los proyectos activos que debamos atender de forma urgente?</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4748B" w:sz="12"/>
              <w:bottom w:val="none" w:color="FFFFFF" w:sz="0"/>
              <w:right w:val="none" w:color="FFFFFF" w:sz="0"/>
            </w:tcBorders>
            <w:shd w:fill="F1F5F9" w:val="clear"/>
            <w:tcMar>
              <w:top w:type="dxa" w:w="120"/>
              <w:left w:type="dxa" w:w="280"/>
              <w:bottom w:type="dxa" w:w="120"/>
              <w:right w:type="dxa" w:w="200"/>
            </w:tcMar>
          </w:tcPr>
          <w:p>
            <w:pPr>
              <w:spacing w:after="60" w:before="0"/>
            </w:pPr>
            <w:r>
              <w:rPr>
                <w:rFonts w:ascii="Arial" w:cs="Arial" w:eastAsia="Arial" w:hAnsi="Arial"/>
                <w:b/>
                <w:bCs/>
                <w:color w:val="64748B"/>
                <w:sz w:val="19"/>
                <w:szCs w:val="19"/>
              </w:rPr>
              <w:t xml:space="preserve">Gemelo de Juan</w:t>
            </w:r>
          </w:p>
          <w:p>
            <w:pPr>
              <w:spacing w:after="0" w:before="0"/>
            </w:pPr>
            <w:r>
              <w:rPr>
                <w:rFonts w:ascii="Arial" w:cs="Arial" w:eastAsia="Arial" w:hAnsi="Arial"/>
                <w:i w:val="false"/>
                <w:iCs w:val="false"/>
                <w:color w:val="111827"/>
                <w:sz w:val="20"/>
                <w:szCs w:val="20"/>
              </w:rPr>
              <w:t xml:space="preserve">Dos riesgos de atención inmediata:
① Deuda técnica en reconciliation_service: el módulo de duplicados tiene un límite de rendimiento a 50.000 transacciones diarias. Banco Norte está aproximándose a ese volumen. Nadie del equipo actual conoce este límite. [Sesión 2, 5 jun 2026]
② Hito RetailCo noviembre: el API del cliente tiene un bug en paginación no reconocido oficialmente. Si no se resuelve, el hito se retrasa. Juan lleva dos semanas esperando respuesta del cliente. [Sesión 2, 5 jun 2026]</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1B6" w:sz="12"/>
              <w:bottom w:val="none" w:color="FFFFFF" w:sz="0"/>
              <w:right w:val="none" w:color="FFFFFF" w:sz="0"/>
            </w:tcBorders>
            <w:shd w:fill="EDE9FE" w:val="clear"/>
            <w:tcMar>
              <w:top w:type="dxa" w:w="120"/>
              <w:left w:type="dxa" w:w="280"/>
              <w:bottom w:type="dxa" w:w="120"/>
              <w:right w:type="dxa" w:w="200"/>
            </w:tcMar>
          </w:tcPr>
          <w:p>
            <w:pPr>
              <w:spacing w:after="60" w:before="0"/>
            </w:pPr>
            <w:r>
              <w:rPr>
                <w:rFonts w:ascii="Arial" w:cs="Arial" w:eastAsia="Arial" w:hAnsi="Arial"/>
                <w:b/>
                <w:bCs/>
                <w:color w:val="5B21B6"/>
                <w:sz w:val="19"/>
                <w:szCs w:val="19"/>
              </w:rPr>
              <w:t xml:space="preserve">Sustituto</w:t>
            </w:r>
          </w:p>
          <w:p>
            <w:pPr>
              <w:spacing w:after="0" w:before="0"/>
            </w:pPr>
            <w:r>
              <w:rPr>
                <w:rFonts w:ascii="Arial" w:cs="Arial" w:eastAsia="Arial" w:hAnsi="Arial"/>
                <w:i w:val="false"/>
                <w:iCs w:val="false"/>
                <w:color w:val="111827"/>
                <w:sz w:val="20"/>
                <w:szCs w:val="20"/>
              </w:rPr>
              <w:t xml:space="preserve">¿Cómo contacto con CloudBase si hay una incidencia grave fuera de horario?</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4748B" w:sz="12"/>
              <w:bottom w:val="none" w:color="FFFFFF" w:sz="0"/>
              <w:right w:val="none" w:color="FFFFFF" w:sz="0"/>
            </w:tcBorders>
            <w:shd w:fill="F1F5F9" w:val="clear"/>
            <w:tcMar>
              <w:top w:type="dxa" w:w="120"/>
              <w:left w:type="dxa" w:w="280"/>
              <w:bottom w:type="dxa" w:w="120"/>
              <w:right w:type="dxa" w:w="200"/>
            </w:tcMar>
          </w:tcPr>
          <w:p>
            <w:pPr>
              <w:spacing w:after="60" w:before="0"/>
            </w:pPr>
            <w:r>
              <w:rPr>
                <w:rFonts w:ascii="Arial" w:cs="Arial" w:eastAsia="Arial" w:hAnsi="Arial"/>
                <w:b/>
                <w:bCs/>
                <w:color w:val="64748B"/>
                <w:sz w:val="19"/>
                <w:szCs w:val="19"/>
              </w:rPr>
              <w:t xml:space="preserve">Gemelo de Juan</w:t>
            </w:r>
          </w:p>
          <w:p>
            <w:pPr>
              <w:spacing w:after="0" w:before="0"/>
            </w:pPr>
            <w:r>
              <w:rPr>
                <w:rFonts w:ascii="Arial" w:cs="Arial" w:eastAsia="Arial" w:hAnsi="Arial"/>
                <w:i w:val="false"/>
                <w:iCs w:val="false"/>
                <w:color w:val="111827"/>
                <w:sz w:val="20"/>
                <w:szCs w:val="20"/>
              </w:rPr>
              <w:t xml:space="preserve">El contacto directo para incidencias P1 es Roberto Vidal (rvidal@cloudbase.io). El SLA incluye respuesta en 2 horas para P1, condición negociada verbalmente y no recogida en el contrato formal. Hay que llamarle directamente, sin abrir ticket oficial, para activar ese SLA. [Sesión 3, 7 jun 2026]</w:t>
            </w:r>
          </w:p>
        </w:tc>
      </w:tr>
    </w:tbl>
    <w:p>
      <w:r>
        <w:rPr>
          <w:sz w:val="12"/>
          <w:szCs w:val="12"/>
        </w:rPr>
        <w:t xml:space="preserve"/>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1FAE5" w:val="clear"/>
            <w:tcMar>
              <w:top w:type="dxa" w:w="180"/>
              <w:left w:type="dxa" w:w="280"/>
              <w:bottom w:type="dxa" w:w="180"/>
              <w:right w:type="dxa" w:w="280"/>
            </w:tcMar>
          </w:tcPr>
          <w:p>
            <w:pPr>
              <w:spacing w:after="100" w:before="0"/>
            </w:pPr>
            <w:r>
              <w:rPr>
                <w:rFonts w:ascii="Arial" w:cs="Arial" w:eastAsia="Arial" w:hAnsi="Arial"/>
                <w:b/>
                <w:bCs/>
                <w:color w:val="065F46"/>
                <w:sz w:val="22"/>
                <w:szCs w:val="22"/>
              </w:rPr>
              <w:t xml:space="preserve">Lo que el gemelo sabe que ningún documento hubiera dado</w:t>
            </w:r>
          </w:p>
          <w:p>
            <w:pPr>
              <w:spacing w:after="40" w:before="40"/>
            </w:pPr>
            <w:r>
              <w:rPr>
                <w:rFonts w:ascii="Arial" w:cs="Arial" w:eastAsia="Arial" w:hAnsi="Arial"/>
                <w:color w:val="111827"/>
                <w:sz w:val="20"/>
                <w:szCs w:val="20"/>
              </w:rPr>
              <w:t xml:space="preserve">①  Elena Ros como decisora real en Banco Norte — no aparece en ningún correo ni documento.</w:t>
            </w:r>
          </w:p>
          <w:p>
            <w:pPr>
              <w:spacing w:after="40" w:before="40"/>
            </w:pPr>
            <w:r>
              <w:rPr>
                <w:rFonts w:ascii="Arial" w:cs="Arial" w:eastAsia="Arial" w:hAnsi="Arial"/>
                <w:color w:val="111827"/>
                <w:sz w:val="20"/>
                <w:szCs w:val="20"/>
              </w:rPr>
              <w:t xml:space="preserve">②  El límite de volumen del módulo de reconciliación y la deuda técnica asociada.</w:t>
            </w:r>
          </w:p>
          <w:p>
            <w:pPr>
              <w:spacing w:after="40" w:before="40"/>
            </w:pPr>
            <w:r>
              <w:rPr>
                <w:rFonts w:ascii="Arial" w:cs="Arial" w:eastAsia="Arial" w:hAnsi="Arial"/>
                <w:color w:val="111827"/>
                <w:sz w:val="20"/>
                <w:szCs w:val="20"/>
              </w:rPr>
              <w:t xml:space="preserve">③  El bug del API de RetailCo y el riesgo real del hito de noviembre.</w:t>
            </w:r>
          </w:p>
          <w:p>
            <w:pPr>
              <w:spacing w:after="40" w:before="40"/>
            </w:pPr>
            <w:r>
              <w:rPr>
                <w:rFonts w:ascii="Arial" w:cs="Arial" w:eastAsia="Arial" w:hAnsi="Arial"/>
                <w:color w:val="111827"/>
                <w:sz w:val="20"/>
                <w:szCs w:val="20"/>
              </w:rPr>
              <w:t xml:space="preserve">④  El acuerdo verbal con CloudBase y el contacto directo para P1.</w:t>
            </w:r>
          </w:p>
          <w:p>
            <w:pPr>
              <w:spacing w:after="40" w:before="40"/>
            </w:pPr>
            <w:r>
              <w:rPr>
                <w:rFonts w:ascii="Arial" w:cs="Arial" w:eastAsia="Arial" w:hAnsi="Arial"/>
                <w:color w:val="111827"/>
                <w:sz w:val="20"/>
                <w:szCs w:val="20"/>
              </w:rPr>
              <w:t xml:space="preserve">⑤  Que Andrés Martín es quien realmente sabe del ETL, no quien figura en el plan.</w:t>
            </w:r>
          </w:p>
          <w:p>
            <w:pPr>
              <w:spacing w:after="40" w:before="40"/>
            </w:pPr>
            <w:r>
              <w:rPr>
                <w:rFonts w:ascii="Arial" w:cs="Arial" w:eastAsia="Arial" w:hAnsi="Arial"/>
                <w:color w:val="111827"/>
                <w:sz w:val="20"/>
                <w:szCs w:val="20"/>
              </w:rPr>
              <w:t xml:space="preserve">⑥  Que existe Logística Sur como cuenta activa en proceso de formalización.</w:t>
            </w:r>
          </w:p>
          <w:p>
            <w:pPr>
              <w:spacing w:after="40" w:before="40"/>
            </w:pPr>
            <w:r>
              <w:rPr>
                <w:rFonts w:ascii="Arial" w:cs="Arial" w:eastAsia="Arial" w:hAnsi="Arial"/>
                <w:color w:val="111827"/>
                <w:sz w:val="20"/>
                <w:szCs w:val="20"/>
              </w:rPr>
              <w:t xml:space="preserve">⑦  El contexto real de por qué se eligió PostgreSQL sobre MongoDB.</w:t>
            </w:r>
          </w:p>
        </w:tc>
      </w:tr>
    </w:tbl>
    <w:p>
      <w:r>
        <w:rPr>
          <w:sz w:val="12"/>
          <w:szCs w:val="12"/>
        </w:rPr>
        <w:t xml:space="preserve"/>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B2F4E" w:val="clear"/>
            <w:tcMar>
              <w:top w:type="dxa" w:w="400"/>
              <w:left w:type="dxa" w:w="360"/>
              <w:bottom w:type="dxa" w:w="400"/>
              <w:right w:type="dxa" w:w="360"/>
            </w:tcMar>
          </w:tcPr>
          <w:p>
            <w:pPr>
              <w:spacing w:after="100" w:before="0"/>
              <w:jc w:val="center"/>
            </w:pPr>
            <w:r>
              <w:rPr>
                <w:rFonts w:ascii="Arial" w:cs="Arial" w:eastAsia="Arial" w:hAnsi="Arial"/>
                <w:b/>
                <w:bCs/>
                <w:color w:val="FFFFFF"/>
                <w:sz w:val="24"/>
                <w:szCs w:val="24"/>
              </w:rPr>
              <w:t xml:space="preserve">KnowTwin · Especificación Funcional v1.0</w:t>
            </w:r>
          </w:p>
          <w:p>
            <w:pPr>
              <w:jc w:val="center"/>
            </w:pPr>
            <w:r>
              <w:rPr>
                <w:rFonts w:ascii="Arial" w:cs="Arial" w:eastAsia="Arial" w:hAnsi="Arial"/>
                <w:color w:val="93C5FD"/>
                <w:sz w:val="18"/>
                <w:szCs w:val="18"/>
              </w:rPr>
              <w:t xml:space="preserve">El detalle de implementación técnica se recoge en el documento complementario.</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6"/>
      </w:pBdr>
      <w:tabs>
        <w:tab w:val="right" w:pos="9026"/>
      </w:tabs>
      <w:spacing w:after="0" w:before="120"/>
    </w:pPr>
    <w:r>
      <w:rPr>
        <w:rFonts w:ascii="Arial" w:cs="Arial" w:eastAsia="Arial" w:hAnsi="Arial"/>
        <w:color w:val="64748B"/>
        <w:sz w:val="16"/>
        <w:szCs w:val="16"/>
      </w:rPr>
      <w:t xml:space="preserve">Uso interno · Confidencial</w:t>
    </w:r>
    <w:r>
      <w:rPr>
        <w:rFonts w:ascii="Arial" w:cs="Arial" w:eastAsia="Arial" w:hAnsi="Arial"/>
        <w:sz w:val="16"/>
        <w:szCs w:val="16"/>
      </w:rPr>
      <w:t xml:space="preserve">	</w:t>
    </w:r>
    <w:r>
      <w:rPr>
        <w:rFonts w:ascii="Arial" w:cs="Arial" w:eastAsia="Arial" w:hAnsi="Arial"/>
        <w:color w:val="64748B"/>
        <w:sz w:val="16"/>
        <w:szCs w:val="16"/>
      </w:rPr>
      <w:t xml:space="preserve">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tabs>
        <w:tab w:val="right" w:pos="9026"/>
      </w:tabs>
      <w:spacing w:after="120" w:before="0"/>
    </w:pPr>
    <w:r>
      <w:rPr>
        <w:rFonts w:ascii="Arial" w:cs="Arial" w:eastAsia="Arial" w:hAnsi="Arial"/>
        <w:color w:val="64748B"/>
        <w:sz w:val="18"/>
        <w:szCs w:val="18"/>
      </w:rPr>
      <w:t xml:space="preserve">KnowTwin · Especificación Funcional MVP</w:t>
    </w:r>
    <w:r>
      <w:rPr>
        <w:rFonts w:ascii="Arial" w:cs="Arial" w:eastAsia="Arial" w:hAnsi="Arial"/>
        <w:sz w:val="18"/>
        <w:szCs w:val="18"/>
      </w:rPr>
      <w:t xml:space="preserve">	</w:t>
    </w:r>
    <w:r>
      <w:rPr>
        <w:rFonts w:ascii="Arial" w:cs="Arial" w:eastAsia="Arial" w:hAnsi="Arial"/>
        <w:color w:val="64748B"/>
        <w:sz w:val="18"/>
        <w:szCs w:val="18"/>
      </w:rPr>
      <w:t xml:space="preserve">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F4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2F4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2026-06-20T08:46:10.501Z</dcterms:created>
  <dcterms:modified xsi:type="dcterms:W3CDTF">2026-06-20T08:46:10.513Z</dcterms:modified>
</cp:coreProperties>
</file>

<file path=docProps/custom.xml><?xml version="1.0" encoding="utf-8"?>
<Properties xmlns="http://schemas.openxmlformats.org/officeDocument/2006/custom-properties" xmlns:vt="http://schemas.openxmlformats.org/officeDocument/2006/docPropsVTypes"/>
</file>