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left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D04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José Joaquín Rojas Romero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josrojrom1@alum.us.es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22/10/2023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heading=h.4d34og8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segundo documento Analysis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tercer documento Analysis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Corrección tras </w:t>
            </w:r>
            <w:r w:rsidDel="00000000" w:rsidR="00000000" w:rsidRPr="00000000">
              <w:rPr>
                <w:i w:val="1"/>
                <w:rtl w:val="0"/>
              </w:rPr>
              <w:t xml:space="preserve">First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Corrección tras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</w:p>
        </w:tc>
      </w:tr>
    </w:tbl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59" w:lineRule="auto"/>
        <w:jc w:val="both"/>
        <w:rPr>
          <w:b w:val="1"/>
          <w:sz w:val="27"/>
          <w:szCs w:val="27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Information requirements: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Intencionadamente en blanco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-Documentos de L02 de los contenidos de la plataforma de la enseñanza virtual de esta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      Sevilla 22 de Octubre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rJev2yFwN/tPyeLnreed+IWlWA==">CgMxLjAyCGguZ2pkZ3hzMgloLjMwajB6bGwyCWguMWZvYjl0ZTIJaC4zem55c2g3MgloLjJldDkycDAyCGgudHlqY3d0OAByITFhTlh4MVRTcnRnRnlvWTlQM3Z0TlVtZW13SDRKdjdpdw==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