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Ybarra Manrique, Miguel, migybaman@alum.us.es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25/05/2023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x90vzarvsu5l"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2rhaxdq89xcm"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sz w:val="24"/>
          <w:szCs w:val="24"/>
          <w:rtl w:val="0"/>
        </w:rPr>
        <w:t xml:space="preserve">En este documento se va a llevar a cabo el análisis de los requisitos implementados individualmente por el miembro Miguel Ybarra Manrique.</w:t>
      </w: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sz w:val="24"/>
          <w:szCs w:val="24"/>
        </w:rPr>
      </w:pPr>
      <w:bookmarkStart w:colFirst="0" w:colLast="0" w:name="_heading=h.2et92p0" w:id="5"/>
      <w:bookmarkEnd w:id="5"/>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F">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[MANDATORY] Produce a test suite for Requirements #14 and #15</w:t>
      </w:r>
    </w:p>
    <w:p w:rsidR="00000000" w:rsidDel="00000000" w:rsidP="00000000" w:rsidRDefault="00000000" w:rsidRPr="00000000" w14:paraId="00000040">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me ha ayudado a identificar ciertos bugs que se encontraban en mi código, por tanto me ha ayudado a corregirlos. Esta es una tarea que ocupa bastante tiempo por el tiempo de ejecución de los tests, por suerte dispongo de un ordenador con bastante memoria y un intel i7, así que los tiempos no fueron tan largos como los de algunos compañeros míos.</w:t>
      </w:r>
    </w:p>
    <w:p w:rsidR="00000000" w:rsidDel="00000000" w:rsidP="00000000" w:rsidRDefault="00000000" w:rsidRPr="00000000" w14:paraId="00000041">
      <w:pPr>
        <w:spacing w:after="160" w:line="259" w:lineRule="auto"/>
        <w:ind w:left="360" w:firstLine="0"/>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Para esta tarea tomé la decisión de hacer al menos un caso positivo por cada acción de una feature y también al menos una negativa. Algunos casos, como por ejemplo el show de tutorial, no tiene un caso negativo porque no es posible. También hice los casos de Hacking donde correspondiera, comprobando que solo el principal autorizado pudiese visualizar, editar o eliminar.</w:t>
      </w:r>
    </w:p>
    <w:p w:rsidR="00000000" w:rsidDel="00000000" w:rsidP="00000000" w:rsidRDefault="00000000" w:rsidRPr="00000000" w14:paraId="00000042">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[MANDATORY] Produce assorted testing data for your test suite</w:t>
      </w:r>
    </w:p>
    <w:p w:rsidR="00000000" w:rsidDel="00000000" w:rsidP="00000000" w:rsidRDefault="00000000" w:rsidRPr="00000000" w14:paraId="00000043">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Gracias a esta tarea identifiqué varias incongruencias en los archivos csv de los datos iniciales, esto fue porque para crear los casos positivos y negativos comprobaba estos datos.</w:t>
      </w:r>
    </w:p>
    <w:p w:rsidR="00000000" w:rsidDel="00000000" w:rsidP="00000000" w:rsidRDefault="00000000" w:rsidRPr="00000000" w14:paraId="00000044">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Durante la creación de casos positivos consideré en la mayoría de los casos que solamente un índice era necesario, en cambio, para los casos negativos eran necesarios muchas más entradas en el csv, para probar en una línea que fallase un solo atributo de la entidad y así comprobar que salta el error intencionado y no se solapa con otros errores.</w:t>
      </w:r>
    </w:p>
    <w:p w:rsidR="00000000" w:rsidDel="00000000" w:rsidP="00000000" w:rsidRDefault="00000000" w:rsidRPr="00000000" w14:paraId="00000045">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L04- Formal Testing de la plataforma virtual de esta asignatura.</w:t>
      </w:r>
    </w:p>
    <w:p w:rsidR="00000000" w:rsidDel="00000000" w:rsidP="00000000" w:rsidRDefault="00000000" w:rsidRPr="00000000" w14:paraId="0000004B">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b w:val="1"/>
        <w:i w:val="1"/>
        <w:sz w:val="18"/>
        <w:szCs w:val="18"/>
      </w:rPr>
    </w:pPr>
    <w:r w:rsidDel="00000000" w:rsidR="00000000" w:rsidRPr="00000000">
      <w:rPr>
        <w:b w:val="1"/>
        <w:i w:val="1"/>
        <w:sz w:val="18"/>
        <w:szCs w:val="18"/>
        <w:rtl w:val="0"/>
      </w:rPr>
      <w:t xml:space="preserve">Grupo C1.04.02                                                                                                             Sevilla 25 de Mayo 2023</w:t>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3oxMpU1r/sXdkFMtZUFcJrnkAA==">CgMxLjAyCGguZ2pkZ3hzMgloLjMwajB6bGwyDmgueDkwdnphcnZzdTVsMg5oLjJyaGF4ZHE4OXhjbTIJaC4xZm9iOXRlMgloLjJldDkycDAyCWguM2R5NnZrbTIJaC4xdDNoNXNmOAByITFWbWlUZkk4M0tXVVBKcmNvWDB5MWM1N05NczIySmd1Nw==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