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Reina Muñoz, José Antonio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25/05/2023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hmpm5uc85lj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90otg4vxm3ka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5qrf25nc6v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lys1hcsr4cl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58vtmc9pw6vo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Antonio Reina Muñoz.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tvy5edcq3b5t" w:id="5"/>
      <w:bookmarkEnd w:id="5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226ygcu2pwd2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 se han desarrollado las siguientes tareas individuales: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[MANDATORY] Produce a test suite for Requirements #14 and #15: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Decisiones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 seguido al pie de la letra la forma de realizar el testing aportada por la asignatura, tanto en nomenclatura, como en funcionalidad dentro de los mismos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 algunos test, no he realizado test negativo o en su caso, de hacking, debido a que </w:t>
        <w:tab/>
        <w:t xml:space="preserve">irrelevante o imposible de realizar, como por ejemplo, realizar un test negativo en un </w:t>
        <w:tab/>
        <w:t xml:space="preserve">test de “list”, y así sucesivamente.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Además, en los test de “auditing record”, he creado un test para los auditing records </w:t>
        <w:tab/>
        <w:t xml:space="preserve">que se crean como correcciones de las auditorias ya publicadas. Este es idéntico al </w:t>
      </w:r>
    </w:p>
    <w:p w:rsidR="00000000" w:rsidDel="00000000" w:rsidP="00000000" w:rsidRDefault="00000000" w:rsidRPr="00000000" w14:paraId="00000042">
      <w:pPr>
        <w:keepNext w:val="1"/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de create, pero con la diferencia de que hay que comprobar el checkBox de confirmar la creación de dicha corrección.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test están disponibles para ejecutar tanto en conjunto como independientemente y se podría decir que se ha conseguido un “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coverage”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aceptable de acuerdo a los requisitos del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Testing Report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1"/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[MANDATORY] Produce assorted testing data for your test suite: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Decisiones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han creado las carpetas y archivos con extensión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“csv”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la misma manera que a la hora de implementar 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 suite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Todos los tests positivos excepto para los servicios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“create”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“update”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implementan de manera sencilla. En cambio, los test negativos, al tener que probar todas las validaciones posibles, es un poco más complejo al tener que abordar todas las opciones posibles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Produce an Analysis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Decisiones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este documento no se han tomado grandes decisiones más allá de cambiar el formato de las tareas desarrolladas a un formato más claro y concreto.</w:t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este analysis report final, he concluido que me han servido tanto este como los anteriores, a tener un mayor analisis sobre las decisiones importantes a tener en cuenta a la hora de programar.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Produce a Planning Report:</w:t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Decisiones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este documento no se han tomado grandes decisiones más allá de cambiar el formato de las tareas desarrolladas a un formato tabular más comprensible que resume mejor la información.</w:t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 desarrollado mi capacidad de organización a raíz de este y los anteriores planning reports.</w:t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Produce a Testing Report:</w:t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Decisiones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falta de tiempo, no me ha dado lugar a realizar el testing report, debido a que me he centrado en otras cuestiones más influyentes e importantes del proyecto</w:t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Conclusión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1"/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Sobre entregables anteriores: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Destacar que, al actualizar un “Auditing Record”, aunque en el formulario aparezca la nota anterior, se debe volver a seleccionar la nota, ya sea la misma, o a la que se va a actualizar, si se deja la nota por defecto y no se toca saltará un error.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remarcar que un “Auditing record” es de tipo corrección, se ha añadido una columna que indica con true -&gt; es una corrección y false-&gt; no es un corrección.</w:t>
      </w:r>
    </w:p>
    <w:p w:rsidR="00000000" w:rsidDel="00000000" w:rsidP="00000000" w:rsidRDefault="00000000" w:rsidRPr="00000000" w14:paraId="0000005A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ysgwrb1dc6k3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25 de Mayo 2023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