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9135.0" w:type="dxa"/>
        <w:jc w:val="left"/>
        <w:tblLayout w:type="fixed"/>
        <w:tblLook w:val="0600"/>
      </w:tblPr>
      <w:tblGrid>
        <w:gridCol w:w="4260"/>
        <w:gridCol w:w="4875"/>
        <w:tblGridChange w:id="0">
          <w:tblGrid>
            <w:gridCol w:w="4260"/>
            <w:gridCol w:w="4875"/>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tab/>
            </w:r>
            <w:r w:rsidDel="00000000" w:rsidR="00000000" w:rsidRPr="00000000">
              <w:rPr>
                <w:sz w:val="22"/>
                <w:szCs w:val="22"/>
                <w:rtl w:val="0"/>
              </w:rPr>
              <w:t xml:space="preserve">29565167R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agudevbon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Devós Bono, </w:t>
            </w:r>
            <w:r w:rsidDel="00000000" w:rsidR="00000000" w:rsidRPr="00000000">
              <w:rPr>
                <w:sz w:val="22"/>
                <w:szCs w:val="22"/>
                <w:rtl w:val="0"/>
              </w:rPr>
              <w:t xml:space="preserve">Agustín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Manager,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Y2643735Z</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benmauflo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b w:val="1"/>
                <w:sz w:val="22"/>
                <w:szCs w:val="22"/>
                <w:rtl w:val="0"/>
              </w:rPr>
              <w:t xml:space="preserve">      </w:t>
            </w:r>
            <w:r w:rsidDel="00000000" w:rsidR="00000000" w:rsidRPr="00000000">
              <w:rPr>
                <w:sz w:val="22"/>
                <w:szCs w:val="22"/>
                <w:rtl w:val="0"/>
              </w:rPr>
              <w:t xml:space="preserve">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Benjamin Ignacio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20091478N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danalorom1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Alors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Daniel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Analista,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090921097T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guaridpin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w:t>
            </w:r>
            <w:r w:rsidDel="00000000" w:rsidR="00000000" w:rsidRPr="00000000">
              <w:rPr>
                <w:sz w:val="22"/>
                <w:szCs w:val="22"/>
                <w:rtl w:val="0"/>
              </w:rPr>
              <w:t xml:space="preserve">da, Guadalupe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Analista, 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20605668Z</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Rojas Romero, José Joaquín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02/15/2024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JZc0cYnpWfK4R66DovuAb1C4g==">CgMxLjAyCGguZ2pkZ3hzMgloLjMwajB6bGwyCWguMWZvYjl0ZTIJaC4zem55c2g3MgloLjJldDkycDAyCGgudHlqY3d0OAByITFsR19oSTBUN2dZT05DZTF1c3ZncklEVzFzOHRQY3VKRw==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