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rFonts w:ascii="Arial" w:cs="Arial" w:eastAsia="Arial" w:hAnsi="Arial"/>
                  <w:color w:val="1155cc"/>
                  <w:u w:val="single"/>
                  <w:rtl w:val="0"/>
                </w:rPr>
                <w:t xml:space="preserve">https://github.com/josrojrom1/DP2-G27-Acme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Y2643735Z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benmauflo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 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Benjamín Ignacio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desarrollador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 de febrero de 2024</w:t>
            </w:r>
            <w:r w:rsidDel="00000000" w:rsidR="00000000" w:rsidRPr="00000000">
              <w:rPr>
                <w:rtl w:val="0"/>
              </w:rPr>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8CPs5/V4RKnnPVlaqjuHc6Y4MQ==">CgMxLjAyCGguZ2pkZ3hzOAByITF5Ulg0Wkt0Y2V3UVltRnF3TlMtcDA0a2xmUHAxSFRVYw==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