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C1.027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https://github.com/josrojrom1/DP2-G27-Acme</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09092109T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guaridpin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Ridruejo Pineda, Guadalupe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analista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14 de febrero, 2024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related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aim of achieving greater visibility in the market.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the moment, at least one month long),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sponsorship (“Financial”, “In kind”),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billed through the use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“IN-[0-9]{4}-[0-9]{4}”,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month ahead the registration time),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it is applied (positive or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(calculated by adding together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or equal to 21.00%;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sponsor1/ sponsor1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sponsor2/ sponsor2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all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equal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sponsorship.</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list of expected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web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4F60"/>
    <w:pPr>
      <w:spacing w:after="200" w:line="276" w:lineRule="auto"/>
      <w:jc w:val="both"/>
    </w:pPr>
    <w:rPr>
      <w:kern w:val="0"/>
      <w:lang w:val="en-GB"/>
    </w:rPr>
  </w:style>
  <w:style w:type="paragraph" w:styleId="Ttulo1">
    <w:name w:val="heading 1"/>
    <w:basedOn w:val="Normal"/>
    <w:next w:val="Normal"/>
    <w:link w:val="Ttulo1Car"/>
    <w:uiPriority w:val="9"/>
    <w:qFormat w:val="1"/>
    <w:rsid w:val="00EA4F6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A4F6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A4F6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A4F6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A4F60"/>
    <w:pPr>
      <w:keepNext w:val="1"/>
      <w:numPr>
        <w:numId w:val="1"/>
      </w:numPr>
      <w:spacing w:after="240" w:before="240" w:line="240" w:lineRule="auto"/>
    </w:pPr>
  </w:style>
  <w:style w:type="paragraph" w:styleId="Prrafodesublista" w:customStyle="1">
    <w:name w:val="Párrafo de sublista"/>
    <w:basedOn w:val="Prrafodelista"/>
    <w:qFormat w:val="1"/>
    <w:rsid w:val="00EA4F6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A4F6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A4F6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A4F6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Xq+/oPSFdLyOBfldWOXyu+ukUQ==">CgMxLjA4AHIhMWM5Y2NLWGw3b3BLV09IQmgyb3dJNHRyaF9lMnBuNnAy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2024-02-04T17:28:00Z</dcterms:created>
  <dc:creator>Guadalupe Ridruejo Pineda</dc:creator>
</cp:coreProperties>
</file>