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Ridruejo Pineda, Guadalupe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guaridpin@alum.us.es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20/05/2024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wqmvbniwbc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del documento</w:t>
            </w:r>
          </w:p>
        </w:tc>
      </w:tr>
    </w:tbl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Guadalupe Ridruejo Pineda.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A">
      <w:pPr>
        <w:keepNext w:val="1"/>
        <w:keepLines w:val="1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Testing requirements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 a test suite for Requirements #6 and #7.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decidido implementar para cada funcionalidad asociada a las entidades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Sponsorship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Invoices</w:t>
      </w:r>
      <w:r w:rsidDel="00000000" w:rsidR="00000000" w:rsidRPr="00000000">
        <w:rPr>
          <w:sz w:val="24"/>
          <w:szCs w:val="24"/>
          <w:rtl w:val="0"/>
        </w:rPr>
        <w:t xml:space="preserve"> una batería de pruebas que recogen datos tanto positivos como negativos, almacenados en un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command.safe,</w:t>
      </w:r>
      <w:r w:rsidDel="00000000" w:rsidR="00000000" w:rsidRPr="00000000">
        <w:rPr>
          <w:sz w:val="24"/>
          <w:szCs w:val="24"/>
          <w:rtl w:val="0"/>
        </w:rPr>
        <w:t xml:space="preserve"> (donde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</w:t>
      </w:r>
      <w:r w:rsidDel="00000000" w:rsidR="00000000" w:rsidRPr="00000000">
        <w:rPr>
          <w:sz w:val="24"/>
          <w:szCs w:val="24"/>
          <w:rtl w:val="0"/>
        </w:rPr>
        <w:t xml:space="preserve">es la variable asociada a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de cada funcionalidad expresada en el formato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rol/entity/command</w:t>
      </w:r>
      <w:r w:rsidDel="00000000" w:rsidR="00000000" w:rsidRPr="00000000">
        <w:rPr>
          <w:sz w:val="24"/>
          <w:szCs w:val="24"/>
          <w:rtl w:val="0"/>
        </w:rPr>
        <w:t xml:space="preserve">) y una batería de pruebas de casos que violen las acciones mencionadas anteriormente, almacenadas en un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command.hack</w:t>
      </w:r>
      <w:r w:rsidDel="00000000" w:rsidR="00000000" w:rsidRPr="00000000">
        <w:rPr>
          <w:sz w:val="24"/>
          <w:szCs w:val="24"/>
          <w:rtl w:val="0"/>
        </w:rPr>
        <w:t xml:space="preserve">, con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panics</w:t>
      </w:r>
      <w:r w:rsidDel="00000000" w:rsidR="00000000" w:rsidRPr="00000000">
        <w:rPr>
          <w:sz w:val="24"/>
          <w:szCs w:val="24"/>
          <w:rtl w:val="0"/>
        </w:rPr>
        <w:t xml:space="preserve">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Managerial requirements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2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 a testing report.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En blanco intencionadamente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20 de mayo 2024</w:t>
    </w:r>
  </w:p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7r0V4LE1CDIdAUo1tvQHt8bHQ==">CgMxLjAyDmgubXdxbXZibml3YmNpMghoLmdqZGd4czIJaC4zMGowemxsMgloLjFmb2I5dGUyCWguM3pueXNoNzIJaC4zZHk2dmttOAByITE0akhVbHVORTRSOTRiWnA2YnlRVXlhdHdBd0ZDZmNQeA==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