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josreimun@alum.us.es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25/04/2024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3dy6vkm">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 en caso de ser necesario.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070"/>
        <w:tblGridChange w:id="0">
          <w:tblGrid>
            <w:gridCol w:w="1380"/>
            <w:gridCol w:w="2010"/>
            <w:gridCol w:w="507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3C">
      <w:pPr>
        <w:pStyle w:val="Heading2"/>
        <w:pBdr>
          <w:bottom w:color="000000" w:space="1" w:sz="8" w:val="single"/>
        </w:pBdr>
        <w:spacing w:after="240" w:before="240" w:lineRule="auto"/>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Requisitos Funcionales</w:t>
      </w:r>
      <w:r w:rsidDel="00000000" w:rsidR="00000000" w:rsidRPr="00000000">
        <w:rPr>
          <w:rtl w:val="0"/>
        </w:rPr>
      </w:r>
    </w:p>
    <w:p w:rsidR="00000000" w:rsidDel="00000000" w:rsidP="00000000" w:rsidRDefault="00000000" w:rsidRPr="00000000" w14:paraId="0000003D">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7) Operations by </w:t>
      </w:r>
      <w:r w:rsidDel="00000000" w:rsidR="00000000" w:rsidRPr="00000000">
        <w:rPr>
          <w:rFonts w:ascii="Calibri" w:cs="Calibri" w:eastAsia="Calibri" w:hAnsi="Calibri"/>
          <w:b w:val="1"/>
          <w:rtl w:val="0"/>
        </w:rPr>
        <w:t xml:space="preserve">auditors </w:t>
      </w:r>
      <w:r w:rsidDel="00000000" w:rsidR="00000000" w:rsidRPr="00000000">
        <w:rPr>
          <w:rFonts w:ascii="Calibri" w:cs="Calibri" w:eastAsia="Calibri" w:hAnsi="Calibri"/>
          <w:rtl w:val="0"/>
        </w:rPr>
        <w:t xml:space="preserve">on </w:t>
      </w:r>
      <w:r w:rsidDel="00000000" w:rsidR="00000000" w:rsidRPr="00000000">
        <w:rPr>
          <w:rFonts w:ascii="Calibri" w:cs="Calibri" w:eastAsia="Calibri" w:hAnsi="Calibri"/>
          <w:b w:val="1"/>
          <w:rtl w:val="0"/>
        </w:rPr>
        <w:t xml:space="preserve">audit records</w:t>
      </w:r>
      <w:r w:rsidDel="00000000" w:rsidR="00000000" w:rsidRPr="00000000">
        <w:rPr>
          <w:rFonts w:ascii="Calibri" w:cs="Calibri" w:eastAsia="Calibri" w:hAnsi="Calibri"/>
          <w:rtl w:val="0"/>
        </w:rPr>
        <w:t xml:space="preserve">: (MANDATORY)</w:t>
      </w:r>
    </w:p>
    <w:p w:rsidR="00000000" w:rsidDel="00000000" w:rsidP="00000000" w:rsidRDefault="00000000" w:rsidRPr="00000000" w14:paraId="0000003E">
      <w:pPr>
        <w:keepNext w:val="1"/>
        <w:numPr>
          <w:ilvl w:val="0"/>
          <w:numId w:val="1"/>
        </w:numPr>
        <w:spacing w:before="240" w:line="240" w:lineRule="auto"/>
        <w:ind w:left="1066" w:hanging="357"/>
        <w:jc w:val="both"/>
        <w:rPr>
          <w:rFonts w:ascii="Calibri" w:cs="Calibri" w:eastAsia="Calibri" w:hAnsi="Calibri"/>
        </w:rPr>
      </w:pPr>
      <w:r w:rsidDel="00000000" w:rsidR="00000000" w:rsidRPr="00000000">
        <w:rPr>
          <w:rFonts w:ascii="Calibri" w:cs="Calibri" w:eastAsia="Calibri" w:hAnsi="Calibri"/>
          <w:rtl w:val="0"/>
        </w:rPr>
        <w:t xml:space="preserve">List the </w:t>
      </w:r>
      <w:r w:rsidDel="00000000" w:rsidR="00000000" w:rsidRPr="00000000">
        <w:rPr>
          <w:rFonts w:ascii="Calibri" w:cs="Calibri" w:eastAsia="Calibri" w:hAnsi="Calibri"/>
          <w:b w:val="1"/>
          <w:rtl w:val="0"/>
        </w:rPr>
        <w:t xml:space="preserve">audit records</w:t>
      </w:r>
      <w:r w:rsidDel="00000000" w:rsidR="00000000" w:rsidRPr="00000000">
        <w:rPr>
          <w:rFonts w:ascii="Calibri" w:cs="Calibri" w:eastAsia="Calibri" w:hAnsi="Calibri"/>
          <w:rtl w:val="0"/>
        </w:rPr>
        <w:t xml:space="preserve"> in their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keepNext w:val="1"/>
        <w:spacing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este requisito se solicita listar el/los </w:t>
      </w:r>
      <w:r w:rsidDel="00000000" w:rsidR="00000000" w:rsidRPr="00000000">
        <w:rPr>
          <w:rFonts w:ascii="Calibri" w:cs="Calibri" w:eastAsia="Calibri" w:hAnsi="Calibri"/>
          <w:rtl w:val="0"/>
        </w:rPr>
        <w:t xml:space="preserve">registro/s</w:t>
      </w:r>
      <w:r w:rsidDel="00000000" w:rsidR="00000000" w:rsidRPr="00000000">
        <w:rPr>
          <w:rFonts w:ascii="Calibri" w:cs="Calibri" w:eastAsia="Calibri" w:hAnsi="Calibri"/>
          <w:rtl w:val="0"/>
        </w:rPr>
        <w:t xml:space="preserve"> de auditoría (clase hija) dentro de la vista de cada auditoría (clase padre). En primera instancia podría parecer útil poder mostrar además una lista desde el navegador que muestre solo los registros de auditoría. No obstante no se ha llevado a cabo dicha acción porque no ha hecho falta en ningún momento listar solo los registros de auditoría de manera independiente, sin llegar a estos navegando desde la clase padre. Se han seguido las indicaciones sugeridas en el foro de la plataforma, las cuales se encuentran detalladas en el siguiente enlace: </w:t>
      </w:r>
    </w:p>
    <w:p w:rsidR="00000000" w:rsidDel="00000000" w:rsidP="00000000" w:rsidRDefault="00000000" w:rsidRPr="00000000" w14:paraId="00000040">
      <w:pPr>
        <w:keepNext w:val="1"/>
        <w:spacing w:before="240" w:line="240" w:lineRule="auto"/>
        <w:ind w:left="0" w:firstLine="0"/>
        <w:jc w:val="both"/>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https://ev.us.es/webapps/discussionboard/do/message?action=list_messages&amp;course_id=_85092_1&amp;nav=discussion_board&amp;conf_id=_405265_1&amp;forum_id=_234042_1&amp;message_id=_414617_1</w:t>
        </w:r>
      </w:hyperlink>
      <w:r w:rsidDel="00000000" w:rsidR="00000000" w:rsidRPr="00000000">
        <w:rPr>
          <w:rtl w:val="0"/>
        </w:rPr>
      </w:r>
    </w:p>
    <w:p w:rsidR="00000000" w:rsidDel="00000000" w:rsidP="00000000" w:rsidRDefault="00000000" w:rsidRPr="00000000" w14:paraId="00000041">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22) Produce a lint report. (SUPLEMENTARY)</w:t>
      </w:r>
    </w:p>
    <w:p w:rsidR="00000000" w:rsidDel="00000000" w:rsidP="00000000" w:rsidRDefault="00000000" w:rsidRPr="00000000" w14:paraId="00000042">
      <w:pPr>
        <w:keepNext w:val="1"/>
        <w:spacing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En este requisito suplementario se pedía generar un reporte tras el análisis de malos olores con la herramienta Sonar Lint. Debido a que no existía información concreta sobre cómo realizar dicho análisis, más allá del documento de Anexos de la plataforma, se ha realizado un análisis completo del proyecto individual siguiendo los pasos: click derecho en el proyecto &gt; SonarLint&gt; Analyze y se han tomado capturas de los malos olores para su posterior gestión en el documento de reporte de Sonar Lint. Los detalles de esta decisión se encuentran en el enlace al hilo siguiente del foro de la plataforma de enseñanza virtual: </w:t>
      </w:r>
    </w:p>
    <w:p w:rsidR="00000000" w:rsidDel="00000000" w:rsidP="00000000" w:rsidRDefault="00000000" w:rsidRPr="00000000" w14:paraId="00000043">
      <w:pPr>
        <w:keepNext w:val="1"/>
        <w:spacing w:before="240" w:line="240" w:lineRule="auto"/>
        <w:jc w:val="both"/>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https://ev.us.es/webapps/discussionboard/do/message?action=list_messages&amp;course_id=_85092_1&amp;nav=discussion_board&amp;conf_id=_405265_1&amp;forum_id=_234042_1&amp;message_id=_415711_1</w:t>
        </w:r>
      </w:hyperlink>
      <w:r w:rsidDel="00000000" w:rsidR="00000000" w:rsidRPr="00000000">
        <w:rPr>
          <w:rtl w:val="0"/>
        </w:rPr>
      </w:r>
    </w:p>
    <w:p w:rsidR="00000000" w:rsidDel="00000000" w:rsidP="00000000" w:rsidRDefault="00000000" w:rsidRPr="00000000" w14:paraId="00000044">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6) Operations by </w:t>
      </w:r>
      <w:r w:rsidDel="00000000" w:rsidR="00000000" w:rsidRPr="00000000">
        <w:rPr>
          <w:rFonts w:ascii="Calibri" w:cs="Calibri" w:eastAsia="Calibri" w:hAnsi="Calibri"/>
          <w:b w:val="1"/>
          <w:rtl w:val="0"/>
        </w:rPr>
        <w:t xml:space="preserve">auditors </w:t>
      </w:r>
      <w:r w:rsidDel="00000000" w:rsidR="00000000" w:rsidRPr="00000000">
        <w:rPr>
          <w:rFonts w:ascii="Calibri" w:cs="Calibri" w:eastAsia="Calibri" w:hAnsi="Calibri"/>
          <w:rtl w:val="0"/>
        </w:rPr>
        <w:t xml:space="preserve">on </w:t>
      </w:r>
      <w:r w:rsidDel="00000000" w:rsidR="00000000" w:rsidRPr="00000000">
        <w:rPr>
          <w:rFonts w:ascii="Calibri" w:cs="Calibri" w:eastAsia="Calibri" w:hAnsi="Calibri"/>
          <w:b w:val="1"/>
          <w:rtl w:val="0"/>
        </w:rPr>
        <w:t xml:space="preserve">code audits: </w:t>
      </w:r>
      <w:r w:rsidDel="00000000" w:rsidR="00000000" w:rsidRPr="00000000">
        <w:rPr>
          <w:rFonts w:ascii="Calibri" w:cs="Calibri" w:eastAsia="Calibri" w:hAnsi="Calibri"/>
          <w:rtl w:val="0"/>
        </w:rPr>
        <w:t xml:space="preserve">(MANDATORY)</w:t>
      </w:r>
    </w:p>
    <w:p w:rsidR="00000000" w:rsidDel="00000000" w:rsidP="00000000" w:rsidRDefault="00000000" w:rsidRPr="00000000" w14:paraId="00000045">
      <w:pPr>
        <w:keepNext w:val="1"/>
        <w:numPr>
          <w:ilvl w:val="0"/>
          <w:numId w:val="2"/>
        </w:numPr>
        <w:spacing w:before="240" w:line="240" w:lineRule="auto"/>
        <w:ind w:left="1066" w:hanging="357"/>
        <w:jc w:val="both"/>
        <w:rPr>
          <w:rFonts w:ascii="Calibri" w:cs="Calibri" w:eastAsia="Calibri" w:hAnsi="Calibri"/>
          <w:sz w:val="22"/>
          <w:szCs w:val="22"/>
        </w:rPr>
      </w:pPr>
      <w:r w:rsidDel="00000000" w:rsidR="00000000" w:rsidRPr="00000000">
        <w:rPr>
          <w:rFonts w:ascii="Calibri" w:cs="Calibri" w:eastAsia="Calibri" w:hAnsi="Calibri"/>
          <w:rtl w:val="0"/>
        </w:rPr>
        <w:t xml:space="preserve">List the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 that they have created.</w:t>
      </w:r>
    </w:p>
    <w:p w:rsidR="00000000" w:rsidDel="00000000" w:rsidP="00000000" w:rsidRDefault="00000000" w:rsidRPr="00000000" w14:paraId="00000046">
      <w:pPr>
        <w:keepNext w:val="1"/>
        <w:numPr>
          <w:ilvl w:val="0"/>
          <w:numId w:val="2"/>
        </w:numPr>
        <w:spacing w:line="240" w:lineRule="auto"/>
        <w:ind w:left="1066" w:hanging="357"/>
        <w:jc w:val="both"/>
        <w:rPr>
          <w:rFonts w:ascii="Calibri" w:cs="Calibri" w:eastAsia="Calibri" w:hAnsi="Calibri"/>
          <w:sz w:val="22"/>
          <w:szCs w:val="22"/>
        </w:rPr>
      </w:pPr>
      <w:r w:rsidDel="00000000" w:rsidR="00000000" w:rsidRPr="00000000">
        <w:rPr>
          <w:rFonts w:ascii="Calibri" w:cs="Calibri" w:eastAsia="Calibri" w:hAnsi="Calibri"/>
          <w:rtl w:val="0"/>
        </w:rPr>
        <w:t xml:space="preserve">Show the details of their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keepNext w:val="1"/>
        <w:numPr>
          <w:ilvl w:val="0"/>
          <w:numId w:val="2"/>
        </w:numPr>
        <w:spacing w:after="240" w:line="240" w:lineRule="auto"/>
        <w:ind w:left="1068"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Create, update, or delete their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Code audits</w:t>
      </w:r>
      <w:r w:rsidDel="00000000" w:rsidR="00000000" w:rsidRPr="00000000">
        <w:rPr>
          <w:rFonts w:ascii="Calibri" w:cs="Calibri" w:eastAsia="Calibri" w:hAnsi="Calibri"/>
          <w:rtl w:val="0"/>
        </w:rPr>
        <w:t xml:space="preserve"> can be updated or deleted as long as they have not been published.</w:t>
      </w:r>
      <w:r w:rsidDel="00000000" w:rsidR="00000000" w:rsidRPr="00000000">
        <w:rPr>
          <w:rFonts w:ascii="Calibri" w:cs="Calibri" w:eastAsia="Calibri" w:hAnsi="Calibri"/>
          <w:u w:val="single"/>
          <w:rtl w:val="0"/>
        </w:rPr>
        <w:t xml:space="preserve"> For a </w:t>
      </w:r>
      <w:r w:rsidDel="00000000" w:rsidR="00000000" w:rsidRPr="00000000">
        <w:rPr>
          <w:rFonts w:ascii="Calibri" w:cs="Calibri" w:eastAsia="Calibri" w:hAnsi="Calibri"/>
          <w:b w:val="1"/>
          <w:u w:val="single"/>
          <w:rtl w:val="0"/>
        </w:rPr>
        <w:t xml:space="preserve">code audit</w:t>
      </w:r>
      <w:r w:rsidDel="00000000" w:rsidR="00000000" w:rsidRPr="00000000">
        <w:rPr>
          <w:rFonts w:ascii="Calibri" w:cs="Calibri" w:eastAsia="Calibri" w:hAnsi="Calibri"/>
          <w:u w:val="single"/>
          <w:rtl w:val="0"/>
        </w:rPr>
        <w:t xml:space="preserve"> to be published, the mark must be, at least, “C”.</w:t>
      </w:r>
    </w:p>
    <w:p w:rsidR="00000000" w:rsidDel="00000000" w:rsidP="00000000" w:rsidRDefault="00000000" w:rsidRPr="00000000" w14:paraId="00000048">
      <w:pPr>
        <w:keepNext w:val="1"/>
        <w:spacing w:after="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Durante el desarrollo del requisito 6 donde hay que diseñar los servicios para publicar una auditoría, surgió la duda de si una auditoría podía ser publicada teniendo registros de auditoría aún no publicados (en modo </w:t>
      </w:r>
      <w:r w:rsidDel="00000000" w:rsidR="00000000" w:rsidRPr="00000000">
        <w:rPr>
          <w:rFonts w:ascii="Calibri" w:cs="Calibri" w:eastAsia="Calibri" w:hAnsi="Calibri"/>
          <w:i w:val="1"/>
          <w:rtl w:val="0"/>
        </w:rPr>
        <w:t xml:space="preserve">draft</w:t>
      </w:r>
      <w:r w:rsidDel="00000000" w:rsidR="00000000" w:rsidRPr="00000000">
        <w:rPr>
          <w:rFonts w:ascii="Calibri" w:cs="Calibri" w:eastAsia="Calibri" w:hAnsi="Calibri"/>
          <w:rtl w:val="0"/>
        </w:rPr>
        <w:t xml:space="preserve">). En el contexto de una auditoría de código, la cual depende de una nota final y es generada por sesiones, no tiene mucho sentido que pueda ser publicada y posteriormente modificada a través de sus registros, pues se podría estar alterando el posible coste del proyecto y la auditoría ya estaría cerrada mostrando una nota final. Por lo tanto se han seguido las indicaciones descritas en el siguiente hilo del foro, las cuales tienen más detalles sobre la decisión tomada:</w:t>
      </w:r>
    </w:p>
    <w:p w:rsidR="00000000" w:rsidDel="00000000" w:rsidP="00000000" w:rsidRDefault="00000000" w:rsidRPr="00000000" w14:paraId="00000049">
      <w:pPr>
        <w:pStyle w:val="Heading1"/>
        <w:rPr>
          <w:sz w:val="22"/>
          <w:szCs w:val="22"/>
        </w:rPr>
      </w:pPr>
      <w:bookmarkStart w:colFirst="0" w:colLast="0" w:name="_heading=h.ggbcytri1xar" w:id="4"/>
      <w:bookmarkEnd w:id="4"/>
      <w:hyperlink r:id="rId11">
        <w:r w:rsidDel="00000000" w:rsidR="00000000" w:rsidRPr="00000000">
          <w:rPr>
            <w:color w:val="1155cc"/>
            <w:sz w:val="22"/>
            <w:szCs w:val="22"/>
            <w:u w:val="single"/>
            <w:rtl w:val="0"/>
          </w:rPr>
          <w:t xml:space="preserve">https://ev.us.es/webapps/discussionboard/do/message?action=list_messages&amp;course_id=_85092_1&amp;nav=discussion_board&amp;conf_id=_405265_1&amp;forum_id=_234042_1&amp;message_id=_416338_1</w:t>
        </w:r>
      </w:hyperlink>
      <w:r w:rsidDel="00000000" w:rsidR="00000000" w:rsidRPr="00000000">
        <w:rPr>
          <w:rtl w:val="0"/>
        </w:rPr>
      </w:r>
    </w:p>
    <w:p w:rsidR="00000000" w:rsidDel="00000000" w:rsidP="00000000" w:rsidRDefault="00000000" w:rsidRPr="00000000" w14:paraId="0000004A">
      <w:pPr>
        <w:keepNext w:val="1"/>
        <w:spacing w:after="240" w:line="240" w:lineRule="auto"/>
        <w:jc w:val="both"/>
        <w:rPr/>
      </w:pPr>
      <w:r w:rsidDel="00000000" w:rsidR="00000000" w:rsidRPr="00000000">
        <w:rPr>
          <w:rFonts w:ascii="Calibri" w:cs="Calibri" w:eastAsia="Calibri" w:hAnsi="Calibri"/>
          <w:rtl w:val="0"/>
        </w:rPr>
        <w:t xml:space="preserve">Con respecto al requisito 6, también se vería afectado el requisito 7) Operations by auditors on audit records, pues por las decisiones tomadas no es posible seguir creando registros en una auditoría ya publicada.</w:t>
      </w:r>
      <w:r w:rsidDel="00000000" w:rsidR="00000000" w:rsidRPr="00000000">
        <w:rPr>
          <w:rtl w:val="0"/>
        </w:rPr>
      </w:r>
    </w:p>
    <w:p w:rsidR="00000000" w:rsidDel="00000000" w:rsidP="00000000" w:rsidRDefault="00000000" w:rsidRPr="00000000" w14:paraId="0000004B">
      <w:pPr>
        <w:pStyle w:val="Heading1"/>
        <w:rPr/>
      </w:pPr>
      <w:bookmarkStart w:colFirst="0" w:colLast="0" w:name="_heading=h.505zsslz77yw" w:id="5"/>
      <w:bookmarkEnd w:id="5"/>
      <w:r w:rsidDel="00000000" w:rsidR="00000000" w:rsidRPr="00000000">
        <w:rPr>
          <w:rtl w:val="0"/>
        </w:rPr>
      </w:r>
    </w:p>
    <w:p w:rsidR="00000000" w:rsidDel="00000000" w:rsidP="00000000" w:rsidRDefault="00000000" w:rsidRPr="00000000" w14:paraId="0000004C">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b w:val="1"/>
        <w:i w:val="1"/>
        <w:sz w:val="18"/>
        <w:szCs w:val="18"/>
      </w:rPr>
    </w:pPr>
    <w:r w:rsidDel="00000000" w:rsidR="00000000" w:rsidRPr="00000000">
      <w:rPr>
        <w:b w:val="1"/>
        <w:i w:val="1"/>
        <w:sz w:val="18"/>
        <w:szCs w:val="18"/>
        <w:rtl w:val="0"/>
      </w:rPr>
      <w:t xml:space="preserve">Grupo C1.027                                                                                                                     Sevilla 25 de Abril 2024</w:t>
    </w:r>
  </w:p>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v.us.es/webapps/discussionboard/do/message?action=list_messages&amp;course_id=_85092_1&amp;nav=discussion_board&amp;conf_id=_405265_1&amp;forum_id=_234042_1&amp;message_id=_416338_1" TargetMode="External"/><Relationship Id="rId10" Type="http://schemas.openxmlformats.org/officeDocument/2006/relationships/hyperlink" Target="https://ev.us.es/webapps/discussionboard/do/message?action=list_messages&amp;course_id=_85092_1&amp;nav=discussion_board&amp;conf_id=_405265_1&amp;forum_id=_234042_1&amp;message_id=_415711_1"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5092_1&amp;nav=discussion_board&amp;conf_id=_405265_1&amp;forum_id=_234042_1&amp;message_id=_414617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QefLgukiTn4zQiKXwS3bN59/cw==">CgMxLjAyCGguZ2pkZ3hzMgloLjMwajB6bGwyCWguMWZvYjl0ZTIJaC4zem55c2g3Mg5oLmdnYmN5dHJpMXhhcjIOaC41MDV6c3Nsejc3eXcyCWguM2R5NnZrbTgAciExaGIteE9sSmhqcEpUeUgxNUhKMWVmV2daajFxMkRPeUc=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