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20605668Z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Rojas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José Joaquín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19/02/2024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deyVgWQK6yzJhXMrnl081BUCA==">CgMxLjA4AHIhMU5mRDRUd0hfOTQtZThKR3cwbGIzZXhWalVqWmdKMXNk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