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20605668Z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Rojas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José Joaquín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19/02/2024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es/X8WFuTkY7YLmHhBlEfx+Taw==">CgMxLjA4AHIhMTdFV3M4LVZCM1dnWXByWXlfQmtsbGl4WmJkQWlpMVR5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