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F1FC1" w14:textId="77777777" w:rsidR="008E6C8E" w:rsidRPr="008E6C8E" w:rsidRDefault="008E6C8E" w:rsidP="008E6C8E">
      <w:pPr>
        <w:spacing w:before="420" w:after="450" w:line="240" w:lineRule="auto"/>
        <w:jc w:val="both"/>
        <w:outlineLvl w:val="0"/>
        <w:rPr>
          <w:rFonts w:ascii="Segoe UI Light" w:eastAsia="Times New Roman" w:hAnsi="Segoe UI Light" w:cs="Segoe UI Light"/>
          <w:color w:val="1E1E1E"/>
          <w:kern w:val="36"/>
          <w:sz w:val="56"/>
          <w:szCs w:val="56"/>
          <w:lang w:eastAsia="fr-FR"/>
        </w:rPr>
      </w:pPr>
      <w:r w:rsidRPr="008E6C8E">
        <w:rPr>
          <w:rFonts w:ascii="Segoe UI Light" w:eastAsia="Times New Roman" w:hAnsi="Segoe UI Light" w:cs="Segoe UI Light"/>
          <w:color w:val="1E1E1E"/>
          <w:kern w:val="36"/>
          <w:sz w:val="56"/>
          <w:szCs w:val="56"/>
          <w:lang w:eastAsia="fr-FR"/>
        </w:rPr>
        <w:t>Utilisation d’opérateurs de calcul dans les formules Excel</w:t>
      </w:r>
    </w:p>
    <w:p w14:paraId="0391CDD3" w14:textId="60435E4B" w:rsidR="008E6C8E" w:rsidRPr="008E6C8E" w:rsidRDefault="008E6C8E" w:rsidP="008E6C8E">
      <w:pPr>
        <w:spacing w:before="100" w:beforeAutospacing="1" w:after="100" w:afterAutospacing="1" w:line="240" w:lineRule="auto"/>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Les opérateurs indiquent le type de calcul que vous voulez effectuer sur les éléments d’une formule. Excel suit les règles mathématiques générales en matière de calculs, qui sont les </w:t>
      </w:r>
      <w:r w:rsidRPr="008E6C8E">
        <w:rPr>
          <w:rFonts w:ascii="Segoe UI" w:eastAsia="Times New Roman" w:hAnsi="Segoe UI" w:cs="Segoe UI"/>
          <w:b/>
          <w:bCs/>
          <w:color w:val="1E1E1E"/>
          <w:sz w:val="28"/>
          <w:szCs w:val="28"/>
          <w:lang w:eastAsia="fr-FR"/>
        </w:rPr>
        <w:t>parenthèses</w:t>
      </w:r>
      <w:r w:rsidRPr="008E6C8E">
        <w:rPr>
          <w:rFonts w:ascii="Segoe UI" w:eastAsia="Times New Roman" w:hAnsi="Segoe UI" w:cs="Segoe UI"/>
          <w:color w:val="1E1E1E"/>
          <w:sz w:val="28"/>
          <w:szCs w:val="28"/>
          <w:lang w:eastAsia="fr-FR"/>
        </w:rPr>
        <w:t>, les </w:t>
      </w:r>
      <w:r w:rsidRPr="008E6C8E">
        <w:rPr>
          <w:rFonts w:ascii="Segoe UI" w:eastAsia="Times New Roman" w:hAnsi="Segoe UI" w:cs="Segoe UI"/>
          <w:b/>
          <w:bCs/>
          <w:color w:val="1E1E1E"/>
          <w:sz w:val="28"/>
          <w:szCs w:val="28"/>
          <w:lang w:eastAsia="fr-FR"/>
        </w:rPr>
        <w:t>exposants</w:t>
      </w:r>
      <w:r w:rsidRPr="008E6C8E">
        <w:rPr>
          <w:rFonts w:ascii="Segoe UI" w:eastAsia="Times New Roman" w:hAnsi="Segoe UI" w:cs="Segoe UI"/>
          <w:color w:val="1E1E1E"/>
          <w:sz w:val="28"/>
          <w:szCs w:val="28"/>
          <w:lang w:eastAsia="fr-FR"/>
        </w:rPr>
        <w:t>, la </w:t>
      </w:r>
      <w:r w:rsidRPr="008E6C8E">
        <w:rPr>
          <w:rFonts w:ascii="Segoe UI" w:eastAsia="Times New Roman" w:hAnsi="Segoe UI" w:cs="Segoe UI"/>
          <w:b/>
          <w:bCs/>
          <w:color w:val="1E1E1E"/>
          <w:sz w:val="28"/>
          <w:szCs w:val="28"/>
          <w:lang w:eastAsia="fr-FR"/>
        </w:rPr>
        <w:t>multiplication et la Division</w:t>
      </w:r>
      <w:r w:rsidRPr="008E6C8E">
        <w:rPr>
          <w:rFonts w:ascii="Segoe UI" w:eastAsia="Times New Roman" w:hAnsi="Segoe UI" w:cs="Segoe UI"/>
          <w:color w:val="1E1E1E"/>
          <w:sz w:val="28"/>
          <w:szCs w:val="28"/>
          <w:lang w:eastAsia="fr-FR"/>
        </w:rPr>
        <w:t xml:space="preserve">, ainsi que </w:t>
      </w:r>
      <w:r w:rsidRPr="008E6C8E">
        <w:rPr>
          <w:rFonts w:ascii="Segoe UI" w:eastAsia="Times New Roman" w:hAnsi="Segoe UI" w:cs="Segoe UI"/>
          <w:b/>
          <w:bCs/>
          <w:color w:val="1E1E1E"/>
          <w:sz w:val="28"/>
          <w:szCs w:val="28"/>
          <w:lang w:eastAsia="fr-FR"/>
        </w:rPr>
        <w:t>l’Ajout</w:t>
      </w:r>
      <w:r w:rsidRPr="008E6C8E">
        <w:rPr>
          <w:rFonts w:ascii="Segoe UI" w:eastAsia="Times New Roman" w:hAnsi="Segoe UI" w:cs="Segoe UI"/>
          <w:b/>
          <w:bCs/>
          <w:color w:val="1E1E1E"/>
          <w:sz w:val="28"/>
          <w:szCs w:val="28"/>
          <w:lang w:eastAsia="fr-FR"/>
        </w:rPr>
        <w:t xml:space="preserve"> et la soustraction</w:t>
      </w:r>
      <w:r w:rsidRPr="008E6C8E">
        <w:rPr>
          <w:rFonts w:ascii="Segoe UI" w:eastAsia="Times New Roman" w:hAnsi="Segoe UI" w:cs="Segoe UI"/>
          <w:color w:val="1E1E1E"/>
          <w:sz w:val="28"/>
          <w:szCs w:val="28"/>
          <w:lang w:eastAsia="fr-FR"/>
        </w:rPr>
        <w:t>, ou l’acronyme </w:t>
      </w:r>
      <w:r w:rsidRPr="008E6C8E">
        <w:rPr>
          <w:rFonts w:ascii="Segoe UI" w:eastAsia="Times New Roman" w:hAnsi="Segoe UI" w:cs="Segoe UI"/>
          <w:b/>
          <w:bCs/>
          <w:color w:val="1E1E1E"/>
          <w:sz w:val="28"/>
          <w:szCs w:val="28"/>
          <w:lang w:eastAsia="fr-FR"/>
        </w:rPr>
        <w:t>PEMDAS</w:t>
      </w:r>
      <w:r>
        <w:rPr>
          <w:rFonts w:ascii="Segoe UI" w:eastAsia="Times New Roman" w:hAnsi="Segoe UI" w:cs="Segoe UI"/>
          <w:b/>
          <w:bCs/>
          <w:color w:val="1E1E1E"/>
          <w:sz w:val="28"/>
          <w:szCs w:val="28"/>
          <w:lang w:eastAsia="fr-FR"/>
        </w:rPr>
        <w:t>.</w:t>
      </w:r>
      <w:r w:rsidRPr="008E6C8E">
        <w:rPr>
          <w:rFonts w:ascii="Segoe UI" w:eastAsia="Times New Roman" w:hAnsi="Segoe UI" w:cs="Segoe UI"/>
          <w:color w:val="1E1E1E"/>
          <w:sz w:val="28"/>
          <w:szCs w:val="28"/>
          <w:lang w:eastAsia="fr-FR"/>
        </w:rPr>
        <w:t> L’utilisation de parenthèses vous permet de changer l’ordre de calcul.</w:t>
      </w:r>
    </w:p>
    <w:p w14:paraId="0B91CD88" w14:textId="1F803CC8" w:rsidR="008E6C8E" w:rsidRPr="008E6C8E" w:rsidRDefault="008E6C8E" w:rsidP="008E6C8E">
      <w:pPr>
        <w:spacing w:before="100" w:beforeAutospacing="1" w:after="100" w:afterAutospacing="1" w:line="240" w:lineRule="auto"/>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Types d’opérateurs.</w:t>
      </w:r>
      <w:r w:rsidRPr="008E6C8E">
        <w:rPr>
          <w:rFonts w:ascii="Segoe UI" w:eastAsia="Times New Roman" w:hAnsi="Segoe UI" w:cs="Segoe UI"/>
          <w:color w:val="1E1E1E"/>
          <w:sz w:val="28"/>
          <w:szCs w:val="28"/>
          <w:lang w:eastAsia="fr-FR"/>
        </w:rPr>
        <w:t> Il existe quatre différents types d’opérateurs de calcul : </w:t>
      </w:r>
      <w:r w:rsidRPr="008E6C8E">
        <w:rPr>
          <w:rFonts w:ascii="Segoe UI" w:eastAsia="Times New Roman" w:hAnsi="Segoe UI" w:cs="Segoe UI"/>
          <w:b/>
          <w:bCs/>
          <w:color w:val="1E1E1E"/>
          <w:sz w:val="28"/>
          <w:szCs w:val="28"/>
          <w:lang w:eastAsia="fr-FR"/>
        </w:rPr>
        <w:t>arithmétique</w:t>
      </w:r>
      <w:r w:rsidRPr="008E6C8E">
        <w:rPr>
          <w:rFonts w:ascii="Segoe UI" w:eastAsia="Times New Roman" w:hAnsi="Segoe UI" w:cs="Segoe UI"/>
          <w:color w:val="1E1E1E"/>
          <w:sz w:val="28"/>
          <w:szCs w:val="28"/>
          <w:lang w:eastAsia="fr-FR"/>
        </w:rPr>
        <w:t>, </w:t>
      </w:r>
      <w:r w:rsidRPr="008E6C8E">
        <w:rPr>
          <w:rFonts w:ascii="Segoe UI" w:eastAsia="Times New Roman" w:hAnsi="Segoe UI" w:cs="Segoe UI"/>
          <w:b/>
          <w:bCs/>
          <w:color w:val="1E1E1E"/>
          <w:sz w:val="28"/>
          <w:szCs w:val="28"/>
          <w:lang w:eastAsia="fr-FR"/>
        </w:rPr>
        <w:t>comparaison</w:t>
      </w:r>
      <w:r w:rsidRPr="008E6C8E">
        <w:rPr>
          <w:rFonts w:ascii="Segoe UI" w:eastAsia="Times New Roman" w:hAnsi="Segoe UI" w:cs="Segoe UI"/>
          <w:color w:val="1E1E1E"/>
          <w:sz w:val="28"/>
          <w:szCs w:val="28"/>
          <w:lang w:eastAsia="fr-FR"/>
        </w:rPr>
        <w:t>, </w:t>
      </w:r>
      <w:r w:rsidRPr="008E6C8E">
        <w:rPr>
          <w:rFonts w:ascii="Segoe UI" w:eastAsia="Times New Roman" w:hAnsi="Segoe UI" w:cs="Segoe UI"/>
          <w:b/>
          <w:bCs/>
          <w:color w:val="1E1E1E"/>
          <w:sz w:val="28"/>
          <w:szCs w:val="28"/>
          <w:lang w:eastAsia="fr-FR"/>
        </w:rPr>
        <w:t>concaténation</w:t>
      </w:r>
      <w:r>
        <w:rPr>
          <w:rFonts w:ascii="Segoe UI" w:eastAsia="Times New Roman" w:hAnsi="Segoe UI" w:cs="Segoe UI"/>
          <w:b/>
          <w:bCs/>
          <w:color w:val="1E1E1E"/>
          <w:sz w:val="28"/>
          <w:szCs w:val="28"/>
          <w:lang w:eastAsia="fr-FR"/>
        </w:rPr>
        <w:t xml:space="preserve"> </w:t>
      </w:r>
      <w:r w:rsidRPr="008E6C8E">
        <w:rPr>
          <w:rFonts w:ascii="Segoe UI" w:eastAsia="Times New Roman" w:hAnsi="Segoe UI" w:cs="Segoe UI"/>
          <w:b/>
          <w:bCs/>
          <w:color w:val="1E1E1E"/>
          <w:sz w:val="28"/>
          <w:szCs w:val="28"/>
          <w:lang w:eastAsia="fr-FR"/>
        </w:rPr>
        <w:t>de texte</w:t>
      </w:r>
      <w:r w:rsidRPr="008E6C8E">
        <w:rPr>
          <w:rFonts w:ascii="Segoe UI" w:eastAsia="Times New Roman" w:hAnsi="Segoe UI" w:cs="Segoe UI"/>
          <w:color w:val="1E1E1E"/>
          <w:sz w:val="28"/>
          <w:szCs w:val="28"/>
          <w:lang w:eastAsia="fr-FR"/>
        </w:rPr>
        <w:t xml:space="preserve"> (</w:t>
      </w:r>
      <w:r w:rsidRPr="008E6C8E">
        <w:rPr>
          <w:rFonts w:ascii="Segoe UI" w:eastAsia="Times New Roman" w:hAnsi="Segoe UI" w:cs="Segoe UI"/>
          <w:color w:val="1E1E1E"/>
          <w:sz w:val="28"/>
          <w:szCs w:val="28"/>
          <w:lang w:eastAsia="fr-FR"/>
        </w:rPr>
        <w:t xml:space="preserve">Le terme concaténation, du latin cum et </w:t>
      </w:r>
      <w:proofErr w:type="spellStart"/>
      <w:r w:rsidRPr="008E6C8E">
        <w:rPr>
          <w:rFonts w:ascii="Segoe UI" w:eastAsia="Times New Roman" w:hAnsi="Segoe UI" w:cs="Segoe UI"/>
          <w:color w:val="1E1E1E"/>
          <w:sz w:val="28"/>
          <w:szCs w:val="28"/>
          <w:lang w:eastAsia="fr-FR"/>
        </w:rPr>
        <w:t>catena</w:t>
      </w:r>
      <w:proofErr w:type="spellEnd"/>
      <w:r w:rsidRPr="008E6C8E">
        <w:rPr>
          <w:rFonts w:ascii="Segoe UI" w:eastAsia="Times New Roman" w:hAnsi="Segoe UI" w:cs="Segoe UI"/>
          <w:color w:val="1E1E1E"/>
          <w:sz w:val="28"/>
          <w:szCs w:val="28"/>
          <w:lang w:eastAsia="fr-FR"/>
        </w:rPr>
        <w:t>, désigne l'action de mettre bout à bout au moins deux chaînes de caractères</w:t>
      </w:r>
      <w:r>
        <w:rPr>
          <w:rFonts w:ascii="Segoe UI" w:eastAsia="Times New Roman" w:hAnsi="Segoe UI" w:cs="Segoe UI"/>
          <w:color w:val="1E1E1E"/>
          <w:sz w:val="28"/>
          <w:szCs w:val="28"/>
          <w:lang w:eastAsia="fr-FR"/>
        </w:rPr>
        <w:t>)</w:t>
      </w:r>
      <w:r w:rsidRPr="008E6C8E">
        <w:rPr>
          <w:rFonts w:ascii="Segoe UI" w:eastAsia="Times New Roman" w:hAnsi="Segoe UI" w:cs="Segoe UI"/>
          <w:color w:val="1E1E1E"/>
          <w:sz w:val="28"/>
          <w:szCs w:val="28"/>
          <w:lang w:eastAsia="fr-FR"/>
        </w:rPr>
        <w:t xml:space="preserve"> e</w:t>
      </w:r>
      <w:r w:rsidRPr="008E6C8E">
        <w:rPr>
          <w:rFonts w:ascii="Segoe UI" w:eastAsia="Times New Roman" w:hAnsi="Segoe UI" w:cs="Segoe UI"/>
          <w:color w:val="1E1E1E"/>
          <w:sz w:val="28"/>
          <w:szCs w:val="28"/>
          <w:lang w:eastAsia="fr-FR"/>
        </w:rPr>
        <w:t>t </w:t>
      </w:r>
      <w:r w:rsidRPr="008E6C8E">
        <w:rPr>
          <w:rFonts w:ascii="Segoe UI" w:eastAsia="Times New Roman" w:hAnsi="Segoe UI" w:cs="Segoe UI"/>
          <w:b/>
          <w:bCs/>
          <w:color w:val="1E1E1E"/>
          <w:sz w:val="28"/>
          <w:szCs w:val="28"/>
          <w:lang w:eastAsia="fr-FR"/>
        </w:rPr>
        <w:t>référence</w:t>
      </w:r>
      <w:r w:rsidRPr="008E6C8E">
        <w:rPr>
          <w:rFonts w:ascii="Segoe UI" w:eastAsia="Times New Roman" w:hAnsi="Segoe UI" w:cs="Segoe UI"/>
          <w:color w:val="1E1E1E"/>
          <w:sz w:val="28"/>
          <w:szCs w:val="28"/>
          <w:lang w:eastAsia="fr-FR"/>
        </w:rPr>
        <w:t>.</w:t>
      </w:r>
    </w:p>
    <w:p w14:paraId="73867E85"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Opérateurs arithmétiques</w:t>
      </w:r>
    </w:p>
    <w:p w14:paraId="09B0A34A"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Pour effectuer des opérations mathématiques de base, telles que l’addition, la soustraction, la multiplication ou la division, mais aussi combiner des nombres et produire des résultats numériques, utilisez les opérateurs arithmétiques suivants :</w:t>
      </w:r>
    </w:p>
    <w:tbl>
      <w:tblPr>
        <w:tblW w:w="11250" w:type="dxa"/>
        <w:tblInd w:w="-1078"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4910"/>
        <w:gridCol w:w="4269"/>
        <w:gridCol w:w="2071"/>
      </w:tblGrid>
      <w:tr w:rsidR="008E6C8E" w:rsidRPr="008E6C8E" w14:paraId="7C24039C"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87501CF"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Opérateur arithmétique</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BD33752"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0FE0575"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51992562" w14:textId="77777777" w:rsidTr="008E6C8E">
        <w:tc>
          <w:tcPr>
            <w:tcW w:w="0" w:type="auto"/>
            <w:shd w:val="clear" w:color="auto" w:fill="F4F4F4"/>
            <w:tcMar>
              <w:top w:w="60" w:type="dxa"/>
              <w:left w:w="150" w:type="dxa"/>
              <w:bottom w:w="60" w:type="dxa"/>
              <w:right w:w="150" w:type="dxa"/>
            </w:tcMar>
            <w:hideMark/>
          </w:tcPr>
          <w:p w14:paraId="0CAB7B0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plus)</w:t>
            </w:r>
          </w:p>
        </w:tc>
        <w:tc>
          <w:tcPr>
            <w:tcW w:w="0" w:type="auto"/>
            <w:shd w:val="clear" w:color="auto" w:fill="F4F4F4"/>
            <w:tcMar>
              <w:top w:w="60" w:type="dxa"/>
              <w:left w:w="150" w:type="dxa"/>
              <w:bottom w:w="60" w:type="dxa"/>
              <w:right w:w="150" w:type="dxa"/>
            </w:tcMar>
            <w:hideMark/>
          </w:tcPr>
          <w:p w14:paraId="299B58B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Addition</w:t>
            </w:r>
          </w:p>
        </w:tc>
        <w:tc>
          <w:tcPr>
            <w:tcW w:w="0" w:type="auto"/>
            <w:shd w:val="clear" w:color="auto" w:fill="F4F4F4"/>
            <w:tcMar>
              <w:top w:w="60" w:type="dxa"/>
              <w:left w:w="150" w:type="dxa"/>
              <w:bottom w:w="60" w:type="dxa"/>
              <w:right w:w="150" w:type="dxa"/>
            </w:tcMar>
            <w:hideMark/>
          </w:tcPr>
          <w:p w14:paraId="47A64B07"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p>
        </w:tc>
      </w:tr>
      <w:tr w:rsidR="008E6C8E" w:rsidRPr="008E6C8E" w14:paraId="69A92193" w14:textId="77777777" w:rsidTr="008E6C8E">
        <w:tc>
          <w:tcPr>
            <w:tcW w:w="0" w:type="auto"/>
            <w:shd w:val="clear" w:color="auto" w:fill="F4F4F4"/>
            <w:tcMar>
              <w:top w:w="60" w:type="dxa"/>
              <w:left w:w="150" w:type="dxa"/>
              <w:bottom w:w="60" w:type="dxa"/>
              <w:right w:w="150" w:type="dxa"/>
            </w:tcMar>
            <w:hideMark/>
          </w:tcPr>
          <w:p w14:paraId="7B3BF24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moins)</w:t>
            </w:r>
          </w:p>
        </w:tc>
        <w:tc>
          <w:tcPr>
            <w:tcW w:w="0" w:type="auto"/>
            <w:shd w:val="clear" w:color="auto" w:fill="F4F4F4"/>
            <w:tcMar>
              <w:top w:w="60" w:type="dxa"/>
              <w:left w:w="150" w:type="dxa"/>
              <w:bottom w:w="60" w:type="dxa"/>
              <w:right w:w="150" w:type="dxa"/>
            </w:tcMar>
            <w:hideMark/>
          </w:tcPr>
          <w:p w14:paraId="45CA40D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Soustraction</w:t>
            </w:r>
            <w:r w:rsidRPr="008E6C8E">
              <w:rPr>
                <w:rFonts w:ascii="Segoe UI" w:eastAsia="Times New Roman" w:hAnsi="Segoe UI" w:cs="Segoe UI"/>
                <w:color w:val="1E1E1E"/>
                <w:sz w:val="18"/>
                <w:szCs w:val="18"/>
                <w:lang w:eastAsia="fr-FR"/>
              </w:rPr>
              <w:br/>
              <w:t>Négation</w:t>
            </w:r>
          </w:p>
        </w:tc>
        <w:tc>
          <w:tcPr>
            <w:tcW w:w="0" w:type="auto"/>
            <w:shd w:val="clear" w:color="auto" w:fill="F4F4F4"/>
            <w:tcMar>
              <w:top w:w="60" w:type="dxa"/>
              <w:left w:w="150" w:type="dxa"/>
              <w:bottom w:w="60" w:type="dxa"/>
              <w:right w:w="150" w:type="dxa"/>
            </w:tcMar>
            <w:hideMark/>
          </w:tcPr>
          <w:p w14:paraId="7B25869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r w:rsidRPr="008E6C8E">
              <w:rPr>
                <w:rFonts w:ascii="Segoe UI" w:eastAsia="Times New Roman" w:hAnsi="Segoe UI" w:cs="Segoe UI"/>
                <w:color w:val="1E1E1E"/>
                <w:sz w:val="18"/>
                <w:szCs w:val="18"/>
                <w:lang w:eastAsia="fr-FR"/>
              </w:rPr>
              <w:br/>
              <w:t>=-3</w:t>
            </w:r>
          </w:p>
        </w:tc>
      </w:tr>
      <w:tr w:rsidR="008E6C8E" w:rsidRPr="008E6C8E" w14:paraId="1C5E39F7" w14:textId="77777777" w:rsidTr="008E6C8E">
        <w:tc>
          <w:tcPr>
            <w:tcW w:w="0" w:type="auto"/>
            <w:shd w:val="clear" w:color="auto" w:fill="F4F4F4"/>
            <w:tcMar>
              <w:top w:w="60" w:type="dxa"/>
              <w:left w:w="150" w:type="dxa"/>
              <w:bottom w:w="60" w:type="dxa"/>
              <w:right w:w="150" w:type="dxa"/>
            </w:tcMar>
            <w:hideMark/>
          </w:tcPr>
          <w:p w14:paraId="1879F2A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(astérisque)</w:t>
            </w:r>
          </w:p>
        </w:tc>
        <w:tc>
          <w:tcPr>
            <w:tcW w:w="0" w:type="auto"/>
            <w:shd w:val="clear" w:color="auto" w:fill="F4F4F4"/>
            <w:tcMar>
              <w:top w:w="60" w:type="dxa"/>
              <w:left w:w="150" w:type="dxa"/>
              <w:bottom w:w="60" w:type="dxa"/>
              <w:right w:w="150" w:type="dxa"/>
            </w:tcMar>
            <w:hideMark/>
          </w:tcPr>
          <w:p w14:paraId="195D9F0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Multiplication</w:t>
            </w:r>
          </w:p>
        </w:tc>
        <w:tc>
          <w:tcPr>
            <w:tcW w:w="0" w:type="auto"/>
            <w:shd w:val="clear" w:color="auto" w:fill="F4F4F4"/>
            <w:tcMar>
              <w:top w:w="60" w:type="dxa"/>
              <w:left w:w="150" w:type="dxa"/>
              <w:bottom w:w="60" w:type="dxa"/>
              <w:right w:w="150" w:type="dxa"/>
            </w:tcMar>
            <w:hideMark/>
          </w:tcPr>
          <w:p w14:paraId="37AA53D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p>
        </w:tc>
      </w:tr>
      <w:tr w:rsidR="008E6C8E" w:rsidRPr="008E6C8E" w14:paraId="452C4593" w14:textId="77777777" w:rsidTr="008E6C8E">
        <w:tc>
          <w:tcPr>
            <w:tcW w:w="0" w:type="auto"/>
            <w:shd w:val="clear" w:color="auto" w:fill="F4F4F4"/>
            <w:tcMar>
              <w:top w:w="60" w:type="dxa"/>
              <w:left w:w="150" w:type="dxa"/>
              <w:bottom w:w="60" w:type="dxa"/>
              <w:right w:w="150" w:type="dxa"/>
            </w:tcMar>
            <w:hideMark/>
          </w:tcPr>
          <w:p w14:paraId="65E285AE"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(barre oblique)</w:t>
            </w:r>
          </w:p>
        </w:tc>
        <w:tc>
          <w:tcPr>
            <w:tcW w:w="0" w:type="auto"/>
            <w:shd w:val="clear" w:color="auto" w:fill="F4F4F4"/>
            <w:tcMar>
              <w:top w:w="60" w:type="dxa"/>
              <w:left w:w="150" w:type="dxa"/>
              <w:bottom w:w="60" w:type="dxa"/>
              <w:right w:w="150" w:type="dxa"/>
            </w:tcMar>
            <w:hideMark/>
          </w:tcPr>
          <w:p w14:paraId="3E2F52F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Division</w:t>
            </w:r>
          </w:p>
        </w:tc>
        <w:tc>
          <w:tcPr>
            <w:tcW w:w="0" w:type="auto"/>
            <w:shd w:val="clear" w:color="auto" w:fill="F4F4F4"/>
            <w:tcMar>
              <w:top w:w="60" w:type="dxa"/>
              <w:left w:w="150" w:type="dxa"/>
              <w:bottom w:w="60" w:type="dxa"/>
              <w:right w:w="150" w:type="dxa"/>
            </w:tcMar>
            <w:hideMark/>
          </w:tcPr>
          <w:p w14:paraId="388E465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3/3</w:t>
            </w:r>
          </w:p>
        </w:tc>
      </w:tr>
      <w:tr w:rsidR="008E6C8E" w:rsidRPr="008E6C8E" w14:paraId="5D39129B" w14:textId="77777777" w:rsidTr="008E6C8E">
        <w:tc>
          <w:tcPr>
            <w:tcW w:w="0" w:type="auto"/>
            <w:shd w:val="clear" w:color="auto" w:fill="F4F4F4"/>
            <w:tcMar>
              <w:top w:w="60" w:type="dxa"/>
              <w:left w:w="150" w:type="dxa"/>
              <w:bottom w:w="60" w:type="dxa"/>
              <w:right w:w="150" w:type="dxa"/>
            </w:tcMar>
            <w:hideMark/>
          </w:tcPr>
          <w:p w14:paraId="4E76026D"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pourcentage)</w:t>
            </w:r>
          </w:p>
        </w:tc>
        <w:tc>
          <w:tcPr>
            <w:tcW w:w="0" w:type="auto"/>
            <w:shd w:val="clear" w:color="auto" w:fill="F4F4F4"/>
            <w:tcMar>
              <w:top w:w="60" w:type="dxa"/>
              <w:left w:w="150" w:type="dxa"/>
              <w:bottom w:w="60" w:type="dxa"/>
              <w:right w:w="150" w:type="dxa"/>
            </w:tcMar>
            <w:hideMark/>
          </w:tcPr>
          <w:p w14:paraId="2047EA43"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Pourcentage</w:t>
            </w:r>
          </w:p>
        </w:tc>
        <w:tc>
          <w:tcPr>
            <w:tcW w:w="0" w:type="auto"/>
            <w:shd w:val="clear" w:color="auto" w:fill="F4F4F4"/>
            <w:tcMar>
              <w:top w:w="60" w:type="dxa"/>
              <w:left w:w="150" w:type="dxa"/>
              <w:bottom w:w="60" w:type="dxa"/>
              <w:right w:w="150" w:type="dxa"/>
            </w:tcMar>
            <w:hideMark/>
          </w:tcPr>
          <w:p w14:paraId="01F2DDF1" w14:textId="4909231F"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Pr>
                <w:rFonts w:ascii="Segoe UI" w:eastAsia="Times New Roman" w:hAnsi="Segoe UI" w:cs="Segoe UI"/>
                <w:color w:val="1E1E1E"/>
                <w:sz w:val="18"/>
                <w:szCs w:val="18"/>
                <w:lang w:eastAsia="fr-FR"/>
              </w:rPr>
              <w:t>= 20%</w:t>
            </w:r>
          </w:p>
        </w:tc>
      </w:tr>
      <w:tr w:rsidR="008E6C8E" w:rsidRPr="008E6C8E" w14:paraId="500BF230" w14:textId="77777777" w:rsidTr="008E6C8E">
        <w:tc>
          <w:tcPr>
            <w:tcW w:w="0" w:type="auto"/>
            <w:shd w:val="clear" w:color="auto" w:fill="F4F4F4"/>
            <w:tcMar>
              <w:top w:w="60" w:type="dxa"/>
              <w:left w:w="150" w:type="dxa"/>
              <w:bottom w:w="60" w:type="dxa"/>
              <w:right w:w="150" w:type="dxa"/>
            </w:tcMar>
            <w:hideMark/>
          </w:tcPr>
          <w:p w14:paraId="718BBD0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insertion)</w:t>
            </w:r>
          </w:p>
        </w:tc>
        <w:tc>
          <w:tcPr>
            <w:tcW w:w="0" w:type="auto"/>
            <w:shd w:val="clear" w:color="auto" w:fill="F4F4F4"/>
            <w:tcMar>
              <w:top w:w="60" w:type="dxa"/>
              <w:left w:w="150" w:type="dxa"/>
              <w:bottom w:w="60" w:type="dxa"/>
              <w:right w:w="150" w:type="dxa"/>
            </w:tcMar>
            <w:hideMark/>
          </w:tcPr>
          <w:p w14:paraId="18DF4B33" w14:textId="18B70B11"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Exposant</w:t>
            </w:r>
            <w:r>
              <w:rPr>
                <w:rFonts w:ascii="Segoe UI" w:eastAsia="Times New Roman" w:hAnsi="Segoe UI" w:cs="Segoe UI"/>
                <w:color w:val="1E1E1E"/>
                <w:sz w:val="18"/>
                <w:szCs w:val="18"/>
                <w:lang w:eastAsia="fr-FR"/>
              </w:rPr>
              <w:t xml:space="preserve"> (Puissance)</w:t>
            </w:r>
          </w:p>
        </w:tc>
        <w:tc>
          <w:tcPr>
            <w:tcW w:w="0" w:type="auto"/>
            <w:shd w:val="clear" w:color="auto" w:fill="F4F4F4"/>
            <w:tcMar>
              <w:top w:w="60" w:type="dxa"/>
              <w:left w:w="150" w:type="dxa"/>
              <w:bottom w:w="60" w:type="dxa"/>
              <w:right w:w="150" w:type="dxa"/>
            </w:tcMar>
            <w:hideMark/>
          </w:tcPr>
          <w:p w14:paraId="4954AA09"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p>
        </w:tc>
      </w:tr>
    </w:tbl>
    <w:p w14:paraId="7556E9E2"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Opérateurs de comparaison</w:t>
      </w:r>
    </w:p>
    <w:p w14:paraId="22578A20"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Vous pouvez comparer deux valeurs avec les opérateurs ci-dessous. Le résultat obtenu est une valeur logique : VRAI ou FAUX.</w:t>
      </w:r>
    </w:p>
    <w:tbl>
      <w:tblPr>
        <w:tblW w:w="11250" w:type="dxa"/>
        <w:tblInd w:w="-1078"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5305"/>
        <w:gridCol w:w="3624"/>
        <w:gridCol w:w="2321"/>
      </w:tblGrid>
      <w:tr w:rsidR="008E6C8E" w:rsidRPr="008E6C8E" w14:paraId="2220125D"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135AAD64"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lastRenderedPageBreak/>
              <w:t>Opérateur de comparaison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8BA9EE9"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4A6F125B"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352131EE" w14:textId="77777777" w:rsidTr="008E6C8E">
        <w:tc>
          <w:tcPr>
            <w:tcW w:w="0" w:type="auto"/>
            <w:shd w:val="clear" w:color="auto" w:fill="F4F4F4"/>
            <w:tcMar>
              <w:top w:w="60" w:type="dxa"/>
              <w:left w:w="150" w:type="dxa"/>
              <w:bottom w:w="60" w:type="dxa"/>
              <w:right w:w="150" w:type="dxa"/>
            </w:tcMar>
            <w:hideMark/>
          </w:tcPr>
          <w:p w14:paraId="436D437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égal)</w:t>
            </w:r>
          </w:p>
        </w:tc>
        <w:tc>
          <w:tcPr>
            <w:tcW w:w="0" w:type="auto"/>
            <w:shd w:val="clear" w:color="auto" w:fill="F4F4F4"/>
            <w:tcMar>
              <w:top w:w="60" w:type="dxa"/>
              <w:left w:w="150" w:type="dxa"/>
              <w:bottom w:w="60" w:type="dxa"/>
              <w:right w:w="150" w:type="dxa"/>
            </w:tcMar>
            <w:hideMark/>
          </w:tcPr>
          <w:p w14:paraId="51C10EBB"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Égal à</w:t>
            </w:r>
          </w:p>
        </w:tc>
        <w:tc>
          <w:tcPr>
            <w:tcW w:w="0" w:type="auto"/>
            <w:shd w:val="clear" w:color="auto" w:fill="F4F4F4"/>
            <w:tcMar>
              <w:top w:w="60" w:type="dxa"/>
              <w:left w:w="150" w:type="dxa"/>
              <w:bottom w:w="60" w:type="dxa"/>
              <w:right w:w="150" w:type="dxa"/>
            </w:tcMar>
            <w:hideMark/>
          </w:tcPr>
          <w:p w14:paraId="765EFD1D"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 = b1</w:t>
            </w:r>
          </w:p>
        </w:tc>
      </w:tr>
      <w:tr w:rsidR="008E6C8E" w:rsidRPr="008E6C8E" w14:paraId="397C8237" w14:textId="77777777" w:rsidTr="008E6C8E">
        <w:tc>
          <w:tcPr>
            <w:tcW w:w="0" w:type="auto"/>
            <w:shd w:val="clear" w:color="auto" w:fill="F4F4F4"/>
            <w:tcMar>
              <w:top w:w="60" w:type="dxa"/>
              <w:left w:w="150" w:type="dxa"/>
              <w:bottom w:w="60" w:type="dxa"/>
              <w:right w:w="150" w:type="dxa"/>
            </w:tcMar>
            <w:hideMark/>
          </w:tcPr>
          <w:p w14:paraId="55853C9E"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&gt; (signe supérieur à)</w:t>
            </w:r>
          </w:p>
        </w:tc>
        <w:tc>
          <w:tcPr>
            <w:tcW w:w="0" w:type="auto"/>
            <w:shd w:val="clear" w:color="auto" w:fill="F4F4F4"/>
            <w:tcMar>
              <w:top w:w="60" w:type="dxa"/>
              <w:left w:w="150" w:type="dxa"/>
              <w:bottom w:w="60" w:type="dxa"/>
              <w:right w:w="150" w:type="dxa"/>
            </w:tcMar>
            <w:hideMark/>
          </w:tcPr>
          <w:p w14:paraId="73736C5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Supérieur à</w:t>
            </w:r>
          </w:p>
        </w:tc>
        <w:tc>
          <w:tcPr>
            <w:tcW w:w="0" w:type="auto"/>
            <w:shd w:val="clear" w:color="auto" w:fill="F4F4F4"/>
            <w:tcMar>
              <w:top w:w="60" w:type="dxa"/>
              <w:left w:w="150" w:type="dxa"/>
              <w:bottom w:w="60" w:type="dxa"/>
              <w:right w:w="150" w:type="dxa"/>
            </w:tcMar>
            <w:hideMark/>
          </w:tcPr>
          <w:p w14:paraId="2E10118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A1&gt;B1</w:t>
            </w:r>
          </w:p>
        </w:tc>
      </w:tr>
      <w:tr w:rsidR="008E6C8E" w:rsidRPr="008E6C8E" w14:paraId="1733E430" w14:textId="77777777" w:rsidTr="008E6C8E">
        <w:tc>
          <w:tcPr>
            <w:tcW w:w="0" w:type="auto"/>
            <w:shd w:val="clear" w:color="auto" w:fill="F4F4F4"/>
            <w:tcMar>
              <w:top w:w="60" w:type="dxa"/>
              <w:left w:w="150" w:type="dxa"/>
              <w:bottom w:w="60" w:type="dxa"/>
              <w:right w:w="150" w:type="dxa"/>
            </w:tcMar>
            <w:hideMark/>
          </w:tcPr>
          <w:p w14:paraId="789C579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&lt; (signe inférieur à)</w:t>
            </w:r>
          </w:p>
        </w:tc>
        <w:tc>
          <w:tcPr>
            <w:tcW w:w="0" w:type="auto"/>
            <w:shd w:val="clear" w:color="auto" w:fill="F4F4F4"/>
            <w:tcMar>
              <w:top w:w="60" w:type="dxa"/>
              <w:left w:w="150" w:type="dxa"/>
              <w:bottom w:w="60" w:type="dxa"/>
              <w:right w:w="150" w:type="dxa"/>
            </w:tcMar>
            <w:hideMark/>
          </w:tcPr>
          <w:p w14:paraId="20D90D0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Inférieur à</w:t>
            </w:r>
          </w:p>
        </w:tc>
        <w:tc>
          <w:tcPr>
            <w:tcW w:w="0" w:type="auto"/>
            <w:shd w:val="clear" w:color="auto" w:fill="F4F4F4"/>
            <w:tcMar>
              <w:top w:w="60" w:type="dxa"/>
              <w:left w:w="150" w:type="dxa"/>
              <w:bottom w:w="60" w:type="dxa"/>
              <w:right w:w="150" w:type="dxa"/>
            </w:tcMar>
            <w:hideMark/>
          </w:tcPr>
          <w:p w14:paraId="41D4AE6A"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A1&lt;B1</w:t>
            </w:r>
          </w:p>
        </w:tc>
      </w:tr>
      <w:tr w:rsidR="008E6C8E" w:rsidRPr="008E6C8E" w14:paraId="631FF79E" w14:textId="77777777" w:rsidTr="008E6C8E">
        <w:tc>
          <w:tcPr>
            <w:tcW w:w="0" w:type="auto"/>
            <w:shd w:val="clear" w:color="auto" w:fill="F4F4F4"/>
            <w:tcMar>
              <w:top w:w="60" w:type="dxa"/>
              <w:left w:w="150" w:type="dxa"/>
              <w:bottom w:w="60" w:type="dxa"/>
              <w:right w:w="150" w:type="dxa"/>
            </w:tcMar>
            <w:hideMark/>
          </w:tcPr>
          <w:p w14:paraId="3CC5CA7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&gt;= (signe supérieur ou égal à)</w:t>
            </w:r>
          </w:p>
        </w:tc>
        <w:tc>
          <w:tcPr>
            <w:tcW w:w="0" w:type="auto"/>
            <w:shd w:val="clear" w:color="auto" w:fill="F4F4F4"/>
            <w:tcMar>
              <w:top w:w="60" w:type="dxa"/>
              <w:left w:w="150" w:type="dxa"/>
              <w:bottom w:w="60" w:type="dxa"/>
              <w:right w:w="150" w:type="dxa"/>
            </w:tcMar>
            <w:hideMark/>
          </w:tcPr>
          <w:p w14:paraId="0AF45C6C"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Supérieur ou égal à</w:t>
            </w:r>
          </w:p>
        </w:tc>
        <w:tc>
          <w:tcPr>
            <w:tcW w:w="0" w:type="auto"/>
            <w:shd w:val="clear" w:color="auto" w:fill="F4F4F4"/>
            <w:tcMar>
              <w:top w:w="60" w:type="dxa"/>
              <w:left w:w="150" w:type="dxa"/>
              <w:bottom w:w="60" w:type="dxa"/>
              <w:right w:w="150" w:type="dxa"/>
            </w:tcMar>
            <w:hideMark/>
          </w:tcPr>
          <w:p w14:paraId="5B8A4904"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A1&gt;= B1</w:t>
            </w:r>
          </w:p>
        </w:tc>
      </w:tr>
      <w:tr w:rsidR="008E6C8E" w:rsidRPr="008E6C8E" w14:paraId="658C9E9B" w14:textId="77777777" w:rsidTr="008E6C8E">
        <w:tc>
          <w:tcPr>
            <w:tcW w:w="0" w:type="auto"/>
            <w:shd w:val="clear" w:color="auto" w:fill="F4F4F4"/>
            <w:tcMar>
              <w:top w:w="60" w:type="dxa"/>
              <w:left w:w="150" w:type="dxa"/>
              <w:bottom w:w="60" w:type="dxa"/>
              <w:right w:w="150" w:type="dxa"/>
            </w:tcMar>
            <w:hideMark/>
          </w:tcPr>
          <w:p w14:paraId="5C6B481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&lt;= (signe inférieur ou égal à)</w:t>
            </w:r>
          </w:p>
        </w:tc>
        <w:tc>
          <w:tcPr>
            <w:tcW w:w="0" w:type="auto"/>
            <w:shd w:val="clear" w:color="auto" w:fill="F4F4F4"/>
            <w:tcMar>
              <w:top w:w="60" w:type="dxa"/>
              <w:left w:w="150" w:type="dxa"/>
              <w:bottom w:w="60" w:type="dxa"/>
              <w:right w:w="150" w:type="dxa"/>
            </w:tcMar>
            <w:hideMark/>
          </w:tcPr>
          <w:p w14:paraId="1AB925BF"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Inférieur ou égal à</w:t>
            </w:r>
          </w:p>
        </w:tc>
        <w:tc>
          <w:tcPr>
            <w:tcW w:w="0" w:type="auto"/>
            <w:shd w:val="clear" w:color="auto" w:fill="F4F4F4"/>
            <w:tcMar>
              <w:top w:w="60" w:type="dxa"/>
              <w:left w:w="150" w:type="dxa"/>
              <w:bottom w:w="60" w:type="dxa"/>
              <w:right w:w="150" w:type="dxa"/>
            </w:tcMar>
            <w:hideMark/>
          </w:tcPr>
          <w:p w14:paraId="4BE9DB3D"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A1&lt;= B1</w:t>
            </w:r>
          </w:p>
        </w:tc>
      </w:tr>
      <w:tr w:rsidR="008E6C8E" w:rsidRPr="008E6C8E" w14:paraId="4A741F69" w14:textId="77777777" w:rsidTr="008E6C8E">
        <w:tc>
          <w:tcPr>
            <w:tcW w:w="0" w:type="auto"/>
            <w:shd w:val="clear" w:color="auto" w:fill="F4F4F4"/>
            <w:tcMar>
              <w:top w:w="60" w:type="dxa"/>
              <w:left w:w="150" w:type="dxa"/>
              <w:bottom w:w="60" w:type="dxa"/>
              <w:right w:w="150" w:type="dxa"/>
            </w:tcMar>
            <w:hideMark/>
          </w:tcPr>
          <w:p w14:paraId="5EAD8C47"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&lt;&gt; (signe différent)</w:t>
            </w:r>
          </w:p>
        </w:tc>
        <w:tc>
          <w:tcPr>
            <w:tcW w:w="0" w:type="auto"/>
            <w:shd w:val="clear" w:color="auto" w:fill="F4F4F4"/>
            <w:tcMar>
              <w:top w:w="60" w:type="dxa"/>
              <w:left w:w="150" w:type="dxa"/>
              <w:bottom w:w="60" w:type="dxa"/>
              <w:right w:w="150" w:type="dxa"/>
            </w:tcMar>
            <w:hideMark/>
          </w:tcPr>
          <w:p w14:paraId="42EB762E"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Différent de</w:t>
            </w:r>
          </w:p>
        </w:tc>
        <w:tc>
          <w:tcPr>
            <w:tcW w:w="0" w:type="auto"/>
            <w:shd w:val="clear" w:color="auto" w:fill="F4F4F4"/>
            <w:tcMar>
              <w:top w:w="60" w:type="dxa"/>
              <w:left w:w="150" w:type="dxa"/>
              <w:bottom w:w="60" w:type="dxa"/>
              <w:right w:w="150" w:type="dxa"/>
            </w:tcMar>
            <w:hideMark/>
          </w:tcPr>
          <w:p w14:paraId="5E219C4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A1&lt;&gt;B1</w:t>
            </w:r>
          </w:p>
        </w:tc>
      </w:tr>
    </w:tbl>
    <w:p w14:paraId="63E5E904"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 de concaténation de texte</w:t>
      </w:r>
    </w:p>
    <w:p w14:paraId="0629318C"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 xml:space="preserve">Utilisez le </w:t>
      </w:r>
      <w:proofErr w:type="gramStart"/>
      <w:r w:rsidRPr="008E6C8E">
        <w:rPr>
          <w:rFonts w:ascii="Segoe UI" w:eastAsia="Times New Roman" w:hAnsi="Segoe UI" w:cs="Segoe UI"/>
          <w:color w:val="1E1E1E"/>
          <w:sz w:val="28"/>
          <w:szCs w:val="28"/>
          <w:lang w:eastAsia="fr-FR"/>
        </w:rPr>
        <w:t>signe </w:t>
      </w:r>
      <w:r w:rsidRPr="008E6C8E">
        <w:rPr>
          <w:rFonts w:ascii="Segoe UI" w:eastAsia="Times New Roman" w:hAnsi="Segoe UI" w:cs="Segoe UI"/>
          <w:b/>
          <w:bCs/>
          <w:color w:val="1E1E1E"/>
          <w:sz w:val="28"/>
          <w:szCs w:val="28"/>
          <w:lang w:eastAsia="fr-FR"/>
        </w:rPr>
        <w:t> &amp;</w:t>
      </w:r>
      <w:proofErr w:type="gramEnd"/>
      <w:r w:rsidRPr="008E6C8E">
        <w:rPr>
          <w:rFonts w:ascii="Segoe UI" w:eastAsia="Times New Roman" w:hAnsi="Segoe UI" w:cs="Segoe UI"/>
          <w:b/>
          <w:bCs/>
          <w:color w:val="1E1E1E"/>
          <w:sz w:val="28"/>
          <w:szCs w:val="28"/>
          <w:lang w:eastAsia="fr-FR"/>
        </w:rPr>
        <w:t> </w:t>
      </w:r>
      <w:r w:rsidRPr="008E6C8E">
        <w:rPr>
          <w:rFonts w:ascii="Segoe UI" w:eastAsia="Times New Roman" w:hAnsi="Segoe UI" w:cs="Segoe UI"/>
          <w:color w:val="1E1E1E"/>
          <w:sz w:val="28"/>
          <w:szCs w:val="28"/>
          <w:lang w:eastAsia="fr-FR"/>
        </w:rPr>
        <w:t> pour concaténer (joindre) une ou plusieurs chaînes de texte afin d’obtenir un seul élément de texte.</w:t>
      </w:r>
    </w:p>
    <w:tbl>
      <w:tblPr>
        <w:tblW w:w="11250" w:type="dxa"/>
        <w:tblInd w:w="-1078"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595"/>
        <w:gridCol w:w="4092"/>
        <w:gridCol w:w="5563"/>
      </w:tblGrid>
      <w:tr w:rsidR="008E6C8E" w:rsidRPr="008E6C8E" w14:paraId="21489406"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55E7B55" w14:textId="77777777" w:rsidR="008E6C8E" w:rsidRPr="008E6C8E" w:rsidRDefault="008E6C8E" w:rsidP="008E6C8E">
            <w:pPr>
              <w:spacing w:before="100" w:beforeAutospacing="1" w:after="100" w:afterAutospacing="1" w:line="240" w:lineRule="auto"/>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Opérateur de texte</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44AE63EA"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713BE18B"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2B2ABB6C" w14:textId="77777777" w:rsidTr="008E6C8E">
        <w:tc>
          <w:tcPr>
            <w:tcW w:w="0" w:type="auto"/>
            <w:shd w:val="clear" w:color="auto" w:fill="F4F4F4"/>
            <w:tcMar>
              <w:top w:w="60" w:type="dxa"/>
              <w:left w:w="150" w:type="dxa"/>
              <w:bottom w:w="60" w:type="dxa"/>
              <w:right w:w="150" w:type="dxa"/>
            </w:tcMar>
            <w:hideMark/>
          </w:tcPr>
          <w:p w14:paraId="78636DD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&amp; (et commercial)</w:t>
            </w:r>
          </w:p>
        </w:tc>
        <w:tc>
          <w:tcPr>
            <w:tcW w:w="0" w:type="auto"/>
            <w:shd w:val="clear" w:color="auto" w:fill="F4F4F4"/>
            <w:tcMar>
              <w:top w:w="60" w:type="dxa"/>
              <w:left w:w="150" w:type="dxa"/>
              <w:bottom w:w="60" w:type="dxa"/>
              <w:right w:w="150" w:type="dxa"/>
            </w:tcMar>
            <w:hideMark/>
          </w:tcPr>
          <w:p w14:paraId="1979ABC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Lie, ou concatène, deux valeurs pour produire une valeur de texte continu</w:t>
            </w:r>
          </w:p>
        </w:tc>
        <w:tc>
          <w:tcPr>
            <w:tcW w:w="0" w:type="auto"/>
            <w:shd w:val="clear" w:color="auto" w:fill="F4F4F4"/>
            <w:tcMar>
              <w:top w:w="60" w:type="dxa"/>
              <w:left w:w="150" w:type="dxa"/>
              <w:bottom w:w="60" w:type="dxa"/>
              <w:right w:w="150" w:type="dxa"/>
            </w:tcMar>
            <w:hideMark/>
          </w:tcPr>
          <w:p w14:paraId="6BBF7650" w14:textId="459CF122"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w:t>
            </w:r>
            <w:r>
              <w:rPr>
                <w:rFonts w:ascii="Segoe UI" w:eastAsia="Times New Roman" w:hAnsi="Segoe UI" w:cs="Segoe UI"/>
                <w:color w:val="1E1E1E"/>
                <w:sz w:val="18"/>
                <w:szCs w:val="18"/>
                <w:lang w:eastAsia="fr-FR"/>
              </w:rPr>
              <w:t>Spider</w:t>
            </w:r>
            <w:r w:rsidRPr="008E6C8E">
              <w:rPr>
                <w:rFonts w:ascii="Segoe UI" w:eastAsia="Times New Roman" w:hAnsi="Segoe UI" w:cs="Segoe UI"/>
                <w:color w:val="1E1E1E"/>
                <w:sz w:val="18"/>
                <w:szCs w:val="18"/>
                <w:lang w:eastAsia="fr-FR"/>
              </w:rPr>
              <w:t>" &amp; "</w:t>
            </w:r>
            <w:r>
              <w:rPr>
                <w:rFonts w:ascii="Segoe UI" w:eastAsia="Times New Roman" w:hAnsi="Segoe UI" w:cs="Segoe UI"/>
                <w:color w:val="1E1E1E"/>
                <w:sz w:val="18"/>
                <w:szCs w:val="18"/>
                <w:lang w:eastAsia="fr-FR"/>
              </w:rPr>
              <w:t>Man</w:t>
            </w:r>
            <w:r w:rsidRPr="008E6C8E">
              <w:rPr>
                <w:rFonts w:ascii="Segoe UI" w:eastAsia="Times New Roman" w:hAnsi="Segoe UI" w:cs="Segoe UI"/>
                <w:color w:val="1E1E1E"/>
                <w:sz w:val="18"/>
                <w:szCs w:val="18"/>
                <w:lang w:eastAsia="fr-FR"/>
              </w:rPr>
              <w:t>" a pour résultat « </w:t>
            </w:r>
            <w:r>
              <w:rPr>
                <w:rFonts w:ascii="Segoe UI" w:eastAsia="Times New Roman" w:hAnsi="Segoe UI" w:cs="Segoe UI"/>
                <w:color w:val="1E1E1E"/>
                <w:sz w:val="18"/>
                <w:szCs w:val="18"/>
                <w:lang w:eastAsia="fr-FR"/>
              </w:rPr>
              <w:t>SpiderMan</w:t>
            </w:r>
            <w:r w:rsidRPr="008E6C8E">
              <w:rPr>
                <w:rFonts w:ascii="Segoe UI" w:eastAsia="Times New Roman" w:hAnsi="Segoe UI" w:cs="Segoe UI"/>
                <w:color w:val="1E1E1E"/>
                <w:sz w:val="18"/>
                <w:szCs w:val="18"/>
                <w:lang w:eastAsia="fr-FR"/>
              </w:rPr>
              <w:t> ».</w:t>
            </w:r>
            <w:r w:rsidRPr="008E6C8E">
              <w:rPr>
                <w:rFonts w:ascii="Segoe UI" w:eastAsia="Times New Roman" w:hAnsi="Segoe UI" w:cs="Segoe UI"/>
                <w:color w:val="1E1E1E"/>
                <w:sz w:val="18"/>
                <w:szCs w:val="18"/>
                <w:lang w:eastAsia="fr-FR"/>
              </w:rPr>
              <w:br/>
              <w:t>Lorsque a1 contient « nom » et B1 contient « prénom », = a1&amp; "," &amp;B1 a pour résultat « nom, prénom ».</w:t>
            </w:r>
          </w:p>
        </w:tc>
      </w:tr>
    </w:tbl>
    <w:p w14:paraId="2164E87E"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Opérateurs de référence</w:t>
      </w:r>
    </w:p>
    <w:tbl>
      <w:tblPr>
        <w:tblpPr w:leftFromText="141" w:rightFromText="141" w:vertAnchor="text" w:horzAnchor="margin" w:tblpXSpec="center" w:tblpY="840"/>
        <w:tblW w:w="1125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861"/>
        <w:gridCol w:w="7354"/>
        <w:gridCol w:w="2035"/>
      </w:tblGrid>
      <w:tr w:rsidR="008E6C8E" w:rsidRPr="008E6C8E" w14:paraId="5B31E2ED"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4331DC7" w14:textId="77777777" w:rsidR="008E6C8E" w:rsidRPr="008E6C8E" w:rsidRDefault="008E6C8E" w:rsidP="008E6C8E">
            <w:pPr>
              <w:spacing w:before="100" w:beforeAutospacing="1" w:after="100" w:afterAutospacing="1" w:line="240" w:lineRule="auto"/>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Opérateurs de référence</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80A410B"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C6E369C"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5BF05757" w14:textId="77777777" w:rsidTr="008E6C8E">
        <w:tc>
          <w:tcPr>
            <w:tcW w:w="0" w:type="auto"/>
            <w:shd w:val="clear" w:color="auto" w:fill="F4F4F4"/>
            <w:tcMar>
              <w:top w:w="60" w:type="dxa"/>
              <w:left w:w="150" w:type="dxa"/>
              <w:bottom w:w="60" w:type="dxa"/>
              <w:right w:w="150" w:type="dxa"/>
            </w:tcMar>
            <w:hideMark/>
          </w:tcPr>
          <w:p w14:paraId="23DB797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(deux-points)</w:t>
            </w:r>
          </w:p>
        </w:tc>
        <w:tc>
          <w:tcPr>
            <w:tcW w:w="0" w:type="auto"/>
            <w:shd w:val="clear" w:color="auto" w:fill="F4F4F4"/>
            <w:tcMar>
              <w:top w:w="60" w:type="dxa"/>
              <w:left w:w="150" w:type="dxa"/>
              <w:bottom w:w="60" w:type="dxa"/>
              <w:right w:w="150" w:type="dxa"/>
            </w:tcMar>
            <w:hideMark/>
          </w:tcPr>
          <w:p w14:paraId="35CE814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Opérateur de plage qui produit une référence à toutes les cellules comprises entre deux références, ces deux références étant incluses</w:t>
            </w:r>
          </w:p>
        </w:tc>
        <w:tc>
          <w:tcPr>
            <w:tcW w:w="0" w:type="auto"/>
            <w:shd w:val="clear" w:color="auto" w:fill="F4F4F4"/>
            <w:tcMar>
              <w:top w:w="60" w:type="dxa"/>
              <w:left w:w="150" w:type="dxa"/>
              <w:bottom w:w="60" w:type="dxa"/>
              <w:right w:w="150" w:type="dxa"/>
            </w:tcMar>
            <w:hideMark/>
          </w:tcPr>
          <w:p w14:paraId="4E422E2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B</w:t>
            </w:r>
            <w:proofErr w:type="gramStart"/>
            <w:r w:rsidRPr="008E6C8E">
              <w:rPr>
                <w:rFonts w:ascii="Segoe UI" w:eastAsia="Times New Roman" w:hAnsi="Segoe UI" w:cs="Segoe UI"/>
                <w:color w:val="1E1E1E"/>
                <w:sz w:val="18"/>
                <w:szCs w:val="18"/>
                <w:lang w:eastAsia="fr-FR"/>
              </w:rPr>
              <w:t>5:B</w:t>
            </w:r>
            <w:proofErr w:type="gramEnd"/>
            <w:r w:rsidRPr="008E6C8E">
              <w:rPr>
                <w:rFonts w:ascii="Segoe UI" w:eastAsia="Times New Roman" w:hAnsi="Segoe UI" w:cs="Segoe UI"/>
                <w:color w:val="1E1E1E"/>
                <w:sz w:val="18"/>
                <w:szCs w:val="18"/>
                <w:lang w:eastAsia="fr-FR"/>
              </w:rPr>
              <w:t>15</w:t>
            </w:r>
          </w:p>
        </w:tc>
      </w:tr>
      <w:tr w:rsidR="008E6C8E" w:rsidRPr="008E6C8E" w14:paraId="4A2D968E" w14:textId="77777777" w:rsidTr="008E6C8E">
        <w:tc>
          <w:tcPr>
            <w:tcW w:w="0" w:type="auto"/>
            <w:shd w:val="clear" w:color="auto" w:fill="F4F4F4"/>
            <w:tcMar>
              <w:top w:w="60" w:type="dxa"/>
              <w:left w:w="150" w:type="dxa"/>
              <w:bottom w:w="60" w:type="dxa"/>
              <w:right w:w="150" w:type="dxa"/>
            </w:tcMar>
            <w:hideMark/>
          </w:tcPr>
          <w:p w14:paraId="2E539D04"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(virgule)</w:t>
            </w:r>
          </w:p>
        </w:tc>
        <w:tc>
          <w:tcPr>
            <w:tcW w:w="0" w:type="auto"/>
            <w:shd w:val="clear" w:color="auto" w:fill="F4F4F4"/>
            <w:tcMar>
              <w:top w:w="60" w:type="dxa"/>
              <w:left w:w="150" w:type="dxa"/>
              <w:bottom w:w="60" w:type="dxa"/>
              <w:right w:w="150" w:type="dxa"/>
            </w:tcMar>
            <w:hideMark/>
          </w:tcPr>
          <w:p w14:paraId="58BB785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Opérateur d’union qui combine plusieurs références en une seule</w:t>
            </w:r>
          </w:p>
        </w:tc>
        <w:tc>
          <w:tcPr>
            <w:tcW w:w="0" w:type="auto"/>
            <w:shd w:val="clear" w:color="auto" w:fill="F4F4F4"/>
            <w:tcMar>
              <w:top w:w="60" w:type="dxa"/>
              <w:left w:w="150" w:type="dxa"/>
              <w:bottom w:w="60" w:type="dxa"/>
              <w:right w:w="150" w:type="dxa"/>
            </w:tcMar>
            <w:hideMark/>
          </w:tcPr>
          <w:p w14:paraId="2B03C1C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SOMME (B5 : B15, D5 : D15)</w:t>
            </w:r>
          </w:p>
        </w:tc>
      </w:tr>
      <w:tr w:rsidR="008E6C8E" w:rsidRPr="008E6C8E" w14:paraId="06CA5363" w14:textId="77777777" w:rsidTr="008E6C8E">
        <w:tc>
          <w:tcPr>
            <w:tcW w:w="0" w:type="auto"/>
            <w:shd w:val="clear" w:color="auto" w:fill="F4F4F4"/>
            <w:tcMar>
              <w:top w:w="60" w:type="dxa"/>
              <w:left w:w="150" w:type="dxa"/>
              <w:bottom w:w="60" w:type="dxa"/>
              <w:right w:w="150" w:type="dxa"/>
            </w:tcMar>
            <w:hideMark/>
          </w:tcPr>
          <w:p w14:paraId="51F5A65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w:t>
            </w:r>
            <w:proofErr w:type="gramStart"/>
            <w:r w:rsidRPr="008E6C8E">
              <w:rPr>
                <w:rFonts w:ascii="Segoe UI" w:eastAsia="Times New Roman" w:hAnsi="Segoe UI" w:cs="Segoe UI"/>
                <w:color w:val="1E1E1E"/>
                <w:sz w:val="18"/>
                <w:szCs w:val="18"/>
                <w:lang w:eastAsia="fr-FR"/>
              </w:rPr>
              <w:t>espace</w:t>
            </w:r>
            <w:proofErr w:type="gramEnd"/>
            <w:r w:rsidRPr="008E6C8E">
              <w:rPr>
                <w:rFonts w:ascii="Segoe UI" w:eastAsia="Times New Roman" w:hAnsi="Segoe UI" w:cs="Segoe UI"/>
                <w:color w:val="1E1E1E"/>
                <w:sz w:val="18"/>
                <w:szCs w:val="18"/>
                <w:lang w:eastAsia="fr-FR"/>
              </w:rPr>
              <w:t>)</w:t>
            </w:r>
          </w:p>
        </w:tc>
        <w:tc>
          <w:tcPr>
            <w:tcW w:w="0" w:type="auto"/>
            <w:shd w:val="clear" w:color="auto" w:fill="F4F4F4"/>
            <w:tcMar>
              <w:top w:w="60" w:type="dxa"/>
              <w:left w:w="150" w:type="dxa"/>
              <w:bottom w:w="60" w:type="dxa"/>
              <w:right w:w="150" w:type="dxa"/>
            </w:tcMar>
            <w:hideMark/>
          </w:tcPr>
          <w:p w14:paraId="57FA5E5F"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Opérateur d’intersection qui produit une référence aux cellules qui sont communes à deux références</w:t>
            </w:r>
          </w:p>
        </w:tc>
        <w:tc>
          <w:tcPr>
            <w:tcW w:w="0" w:type="auto"/>
            <w:shd w:val="clear" w:color="auto" w:fill="F4F4F4"/>
            <w:tcMar>
              <w:top w:w="60" w:type="dxa"/>
              <w:left w:w="150" w:type="dxa"/>
              <w:bottom w:w="60" w:type="dxa"/>
              <w:right w:w="150" w:type="dxa"/>
            </w:tcMar>
            <w:hideMark/>
          </w:tcPr>
          <w:p w14:paraId="3B03406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B</w:t>
            </w:r>
            <w:proofErr w:type="gramStart"/>
            <w:r w:rsidRPr="008E6C8E">
              <w:rPr>
                <w:rFonts w:ascii="Segoe UI" w:eastAsia="Times New Roman" w:hAnsi="Segoe UI" w:cs="Segoe UI"/>
                <w:color w:val="1E1E1E"/>
                <w:sz w:val="18"/>
                <w:szCs w:val="18"/>
                <w:lang w:eastAsia="fr-FR"/>
              </w:rPr>
              <w:t>7:D</w:t>
            </w:r>
            <w:proofErr w:type="gramEnd"/>
            <w:r w:rsidRPr="008E6C8E">
              <w:rPr>
                <w:rFonts w:ascii="Segoe UI" w:eastAsia="Times New Roman" w:hAnsi="Segoe UI" w:cs="Segoe UI"/>
                <w:color w:val="1E1E1E"/>
                <w:sz w:val="18"/>
                <w:szCs w:val="18"/>
                <w:lang w:eastAsia="fr-FR"/>
              </w:rPr>
              <w:t>7 C6:C8</w:t>
            </w:r>
          </w:p>
        </w:tc>
      </w:tr>
    </w:tbl>
    <w:p w14:paraId="3737DD7A"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Combinez des plages de cellules pour effectuer des calculs à l’aide des opérateurs suivants :</w:t>
      </w:r>
    </w:p>
    <w:p w14:paraId="194CC668" w14:textId="77777777" w:rsidR="00C371E1" w:rsidRPr="008E6C8E" w:rsidRDefault="008E6C8E" w:rsidP="008E6C8E">
      <w:pPr>
        <w:jc w:val="both"/>
        <w:rPr>
          <w:sz w:val="16"/>
          <w:szCs w:val="16"/>
        </w:rPr>
      </w:pPr>
    </w:p>
    <w:sectPr w:rsidR="00C371E1" w:rsidRPr="008E6C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567EE"/>
    <w:multiLevelType w:val="multilevel"/>
    <w:tmpl w:val="EB12C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8E"/>
    <w:rsid w:val="004C6315"/>
    <w:rsid w:val="008E6C8E"/>
    <w:rsid w:val="00FC01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CF519"/>
  <w15:chartTrackingRefBased/>
  <w15:docId w15:val="{BA29B809-25DF-452C-AFA3-697F76E6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E6C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6C8E"/>
    <w:rPr>
      <w:rFonts w:ascii="Times New Roman" w:eastAsia="Times New Roman" w:hAnsi="Times New Roman" w:cs="Times New Roman"/>
      <w:b/>
      <w:bCs/>
      <w:kern w:val="36"/>
      <w:sz w:val="48"/>
      <w:szCs w:val="48"/>
      <w:lang w:eastAsia="fr-FR"/>
    </w:rPr>
  </w:style>
  <w:style w:type="character" w:customStyle="1" w:styleId="appliestoitem">
    <w:name w:val="appliestoitem"/>
    <w:basedOn w:val="Policepardfaut"/>
    <w:rsid w:val="008E6C8E"/>
  </w:style>
  <w:style w:type="paragraph" w:styleId="NormalWeb">
    <w:name w:val="Normal (Web)"/>
    <w:basedOn w:val="Normal"/>
    <w:uiPriority w:val="99"/>
    <w:semiHidden/>
    <w:unhideWhenUsed/>
    <w:rsid w:val="008E6C8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21224">
      <w:bodyDiv w:val="1"/>
      <w:marLeft w:val="0"/>
      <w:marRight w:val="0"/>
      <w:marTop w:val="0"/>
      <w:marBottom w:val="0"/>
      <w:divBdr>
        <w:top w:val="none" w:sz="0" w:space="0" w:color="auto"/>
        <w:left w:val="none" w:sz="0" w:space="0" w:color="auto"/>
        <w:bottom w:val="none" w:sz="0" w:space="0" w:color="auto"/>
        <w:right w:val="none" w:sz="0" w:space="0" w:color="auto"/>
      </w:divBdr>
      <w:divsChild>
        <w:div w:id="665675023">
          <w:marLeft w:val="0"/>
          <w:marRight w:val="0"/>
          <w:marTop w:val="0"/>
          <w:marBottom w:val="0"/>
          <w:divBdr>
            <w:top w:val="none" w:sz="0" w:space="0" w:color="auto"/>
            <w:left w:val="none" w:sz="0" w:space="0" w:color="auto"/>
            <w:bottom w:val="none" w:sz="0" w:space="0" w:color="auto"/>
            <w:right w:val="none" w:sz="0" w:space="0" w:color="auto"/>
          </w:divBdr>
          <w:divsChild>
            <w:div w:id="414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423</Words>
  <Characters>2329</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josselin boullery</dc:creator>
  <cp:keywords/>
  <dc:description/>
  <cp:lastModifiedBy>josselin boullery</cp:lastModifiedBy>
  <cp:revision>1</cp:revision>
  <dcterms:created xsi:type="dcterms:W3CDTF">2021-04-22T14:49:00Z</dcterms:created>
  <dcterms:modified xsi:type="dcterms:W3CDTF">2021-04-22T14:59:00Z</dcterms:modified>
</cp:coreProperties>
</file>