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/>
      </w:r>
      <w:r>
        <w:t xml:space="preserve">Table 2: Regression Results with Controls</w:t>
      </w:r>
    </w:p>
    <w:p>
      <w:r>
        <w:t/>
      </w:r>
    </w:p>
    <w:p>
      <w:pPr>
        <w:rPr>
          <w:rFonts w:ascii="courier new" w:hAnsi="courier new" w:eastAsia="courier new" w:cs="courier new"/>
          <w:sz w:val="18"/>
        </w:rPr>
      </w:pPr>
      <w:r>
        <w:t/>
      </w:r>
      <w:r>
        <w:rPr>
          <w:rFonts w:ascii="courier new" w:hAnsi="courier new" w:eastAsia="courier new" w:cs="courier new"/>
          <w:sz w:val="18"/>
        </w:rPr>
        <w:t xml:space="preserve">Table 2: Regression Results with Controls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    (1)             (2)             (3)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WTP change~i    WTP change~i    WTP change~i   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relaxa~p        0.009           0.006**         0.003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(0.006)         (0.003)         (0.003)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reduce~s        0.002          -0.006           0.001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(0.005)         (0.006)         (0.006)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muscle~y        0.001           0.006           0.007*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(0.006)         (0.004)         (0.004)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blood ~t       -0.001          -0.003          -0.003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(0.005)         (0.005)         (0.005)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bone h~h       -0.002           0.001          -0.003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(0.007)         (0.006)         (0.006)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Perceived usefulne~u       -0.016           0.074           0.111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(0.081)         (0.070)         (0.072)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Age                        -0.012          -0.007          -0.006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(0.009)         (0.008)         (0.008)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Exercise frequency         -0.116          -0.044           0.048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(0.095)         (0.092)         (0.094)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Sports drink consu~n        0.079          -0.000          -0.059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(0.118)         (0.085)         (0.088)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Prior knowledge of~n       -0.010          -0.081          -0.035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(0.099)         (0.126)         (0.130)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Constant                    0.091           0.427          -0.276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(0.576)         (0.549)         (0.565)   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Observations               33.000          37.000          37.000   </w:t>
        <w:br w:type="textWrapping"/>
      </w:r>
      <w:r>
        <w:rPr>
          <w:rFonts w:ascii="courier new" w:hAnsi="courier new" w:eastAsia="courier new" w:cs="courier new"/>
          <w:sz w:val="18"/>
        </w:rPr>
        <w:t xml:space="preserve">R-squared                   0.490           0.335           0.275   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Standard errors in parentheses</w:t>
        <w:br w:type="textWrapping"/>
      </w:r>
      <w:r>
        <w:rPr>
          <w:rFonts w:ascii="courier new" w:hAnsi="courier new" w:eastAsia="courier new" w:cs="courier new"/>
          <w:sz w:val="18"/>
        </w:rPr>
        <w:t xml:space="preserve">* p&lt;0.10, ** p&lt;0.05, *** p&lt;0.01</w:t>
        <w:br w:type="textWrapping"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