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 The 2017 tax code defines 7 tax brackets progressing from a 10% marginal rate up to a 39.6% marginal rate.</w:t>
      </w:r>
      <w:r w:rsidR="00664904">
        <w:t xml:space="preserve"> The </w:t>
      </w:r>
      <w:r w:rsidR="005C1869">
        <w:t>actual</w:t>
      </w:r>
      <w:r w:rsidR="00664904">
        <w:t xml:space="preserve"> bracket definitions vary depending on filing status: single, married filed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BF76B1">
        <w:t xml:space="preserve"> which is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 It has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higher earners are subject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w:t>
      </w:r>
      <w:r w:rsidR="00BF76B1">
        <w:lastRenderedPageBreak/>
        <w:t xml:space="preserve">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never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before the oldest Roth account is 5 still do not require any tax or penalty to be paid. </w:t>
      </w:r>
    </w:p>
    <w:p w:rsidR="00BB4FAA" w:rsidRDefault="00BB4FAA">
      <w:r>
        <w:t>TDRA to Roth Conversions: no yet.</w:t>
      </w:r>
    </w:p>
    <w:p w:rsidR="00C32F4E" w:rsidRDefault="00C32F4E">
      <w:r>
        <w:t xml:space="preserve">Estate Taxes: </w:t>
      </w:r>
    </w:p>
    <w:p w:rsidR="005C1869" w:rsidRDefault="005C1869">
      <w:r>
        <w:t>Model Assumptions:</w:t>
      </w:r>
    </w:p>
    <w:p w:rsidR="008942C2" w:rsidRDefault="008942C2" w:rsidP="005C1869">
      <w:pPr>
        <w:pStyle w:val="ListParagraph"/>
        <w:numPr>
          <w:ilvl w:val="0"/>
          <w:numId w:val="5"/>
        </w:numPr>
      </w:pPr>
      <w:r>
        <w:t>The standard deduction is assumed along with a personal exemption</w:t>
      </w:r>
    </w:p>
    <w:p w:rsidR="005C1869" w:rsidRDefault="005C1869" w:rsidP="005C1869">
      <w:pPr>
        <w:pStyle w:val="ListParagraph"/>
        <w:numPr>
          <w:ilvl w:val="0"/>
          <w:numId w:val="5"/>
        </w:numPr>
      </w:pPr>
      <w:r>
        <w:t xml:space="preserve">All withdrawals from the investment account </w:t>
      </w:r>
      <w:r w:rsidR="008942C2">
        <w:t>are taxed based on gains only and are assumed</w:t>
      </w:r>
      <w:r>
        <w:t xml:space="preserve"> long term capital gains</w:t>
      </w:r>
    </w:p>
    <w:p w:rsidR="008942C2" w:rsidRDefault="008942C2" w:rsidP="008942C2">
      <w:pPr>
        <w:pStyle w:val="ListParagraph"/>
        <w:numPr>
          <w:ilvl w:val="1"/>
          <w:numId w:val="5"/>
        </w:numPr>
      </w:pPr>
      <w:r>
        <w:t>Fraction gains needs improvement</w:t>
      </w:r>
    </w:p>
    <w:p w:rsidR="00465138" w:rsidRDefault="00465138" w:rsidP="005C1869">
      <w:pPr>
        <w:pStyle w:val="ListParagraph"/>
        <w:numPr>
          <w:ilvl w:val="0"/>
          <w:numId w:val="5"/>
        </w:numPr>
      </w:pPr>
      <w:r>
        <w:t xml:space="preserve">The percent of Social Security income that is subject to tax varies by income, here we assume the maximum percentage of 85% </w:t>
      </w:r>
    </w:p>
    <w:p w:rsidR="005C44B8" w:rsidRDefault="005C44B8" w:rsidP="005C1869">
      <w:pPr>
        <w:pStyle w:val="ListParagraph"/>
        <w:numPr>
          <w:ilvl w:val="0"/>
          <w:numId w:val="5"/>
        </w:numPr>
      </w:pPr>
      <w:r>
        <w:t>Not including the Medicare Net Investment Income tax</w:t>
      </w:r>
    </w:p>
    <w:p w:rsidR="006365F3" w:rsidRDefault="006365F3" w:rsidP="005C1869">
      <w:pPr>
        <w:pStyle w:val="ListParagraph"/>
        <w:numPr>
          <w:ilvl w:val="0"/>
          <w:numId w:val="5"/>
        </w:numPr>
      </w:pPr>
      <w:r>
        <w:t>All IRA contributions are with pretax money, this ignores deduction limits at the high end</w:t>
      </w:r>
    </w:p>
    <w:p w:rsidR="006365F3" w:rsidRDefault="00E728FC" w:rsidP="005C1869">
      <w:pPr>
        <w:pStyle w:val="ListParagraph"/>
        <w:numPr>
          <w:ilvl w:val="0"/>
          <w:numId w:val="5"/>
        </w:numPr>
      </w:pPr>
      <w:r>
        <w:t>Roth withdrawals never incur tax on profits but do incur a penalty before age 59 ½ on the full amount</w:t>
      </w:r>
    </w:p>
    <w:p w:rsidR="00410CD1" w:rsidRDefault="00410CD1" w:rsidP="005C1869">
      <w:pPr>
        <w:pStyle w:val="ListParagraph"/>
        <w:numPr>
          <w:ilvl w:val="0"/>
          <w:numId w:val="5"/>
        </w:numPr>
      </w:pPr>
      <w:r>
        <w:t>Roth account contributions up to the personal maximum but I think I am allowing a joint max to be deposited into a single account (</w:t>
      </w:r>
      <w:r w:rsidRPr="00410CD1">
        <w:rPr>
          <w:color w:val="FF0000"/>
        </w:rPr>
        <w:t>TODO: do I need to change/fix this?</w:t>
      </w:r>
      <w:r>
        <w:t>)</w:t>
      </w:r>
    </w:p>
    <w:p w:rsidR="002D3B19" w:rsidRDefault="002D3B19" w:rsidP="005C1869">
      <w:pPr>
        <w:pStyle w:val="ListParagraph"/>
        <w:numPr>
          <w:ilvl w:val="0"/>
          <w:numId w:val="5"/>
        </w:numPr>
      </w:pPr>
      <w:r>
        <w:t>No Roth contribution restrictions</w:t>
      </w:r>
      <w:r w:rsidR="007570F7">
        <w:t xml:space="preserve"> based on income levels</w:t>
      </w:r>
      <w:r>
        <w:t xml:space="preserve"> are modeled</w:t>
      </w:r>
    </w:p>
    <w:p w:rsidR="007570F7" w:rsidRDefault="007570F7" w:rsidP="005C1869">
      <w:pPr>
        <w:pStyle w:val="ListParagraph"/>
        <w:numPr>
          <w:ilvl w:val="0"/>
          <w:numId w:val="5"/>
        </w:numPr>
      </w:pPr>
      <w:r>
        <w:t xml:space="preserve">Roth 5 year restriction is assumed to be passed </w:t>
      </w:r>
    </w:p>
    <w:p w:rsidR="00253064" w:rsidRDefault="00253064" w:rsidP="005C1869">
      <w:pPr>
        <w:pStyle w:val="ListParagraph"/>
        <w:numPr>
          <w:ilvl w:val="0"/>
          <w:numId w:val="5"/>
        </w:numPr>
      </w:pPr>
      <w:r>
        <w:t>RMD table all use the same which assumes the spouses are within 10 years age of each other</w:t>
      </w:r>
    </w:p>
    <w:p w:rsidR="005C44B8" w:rsidRDefault="00E728FC" w:rsidP="00E728FC">
      <w:r>
        <w:t>(</w:t>
      </w:r>
      <w:r w:rsidRPr="00E728FC">
        <w:rPr>
          <w:color w:val="FF0000"/>
        </w:rPr>
        <w:t>Currently all Roth documentation and modeling is suspect</w:t>
      </w:r>
      <w:r>
        <w:rPr>
          <w:color w:val="FF0000"/>
        </w:rPr>
        <w:t xml:space="preserve"> and need double checking</w:t>
      </w:r>
      <w:r>
        <w:t>)</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lastRenderedPageBreak/>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w:t>
      </w:r>
      <w:r w:rsidR="003E3E13">
        <w:rPr>
          <w:rFonts w:eastAsiaTheme="minorEastAsia"/>
        </w:rPr>
        <w:lastRenderedPageBreak/>
        <w:t xml:space="preserve">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r w:rsidR="001419E0">
        <w:rPr>
          <w:rFonts w:eastAsiaTheme="minorEastAsia"/>
          <w:color w:val="FF0000"/>
        </w:rPr>
        <w:t>refers</w:t>
      </w:r>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E7725A"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30F29">
        <w:rPr>
          <w:rFonts w:eastAsiaTheme="minorEastAsia"/>
        </w:rPr>
        <w:t>old</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m:t>
                    </m:r>
                  </m:sub>
                </m:sSub>
              </m:e>
            </m:d>
          </m:e>
        </m:func>
        <m:r>
          <w:rPr>
            <w:rFonts w:ascii="Cambria Math" w:eastAsiaTheme="minorEastAsia" w:hAnsi="Cambria Math"/>
          </w:rPr>
          <m:t>,   i=1..n</m:t>
        </m:r>
      </m:oMath>
      <w:r>
        <w:rPr>
          <w:rFonts w:eastAsiaTheme="minorEastAsia"/>
        </w:rPr>
        <w:tab/>
        <w:t>(5+’)</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hAnsi="Cambria Math"/>
          </w:rPr>
          <m:t>&gt;0</m:t>
        </m:r>
      </m:oMath>
      <w:r w:rsidR="00F963D3">
        <w:rPr>
          <w:rFonts w:eastAsiaTheme="minorEastAsia"/>
        </w:rPr>
        <w:tab/>
        <w:t>(5++’)</w:t>
      </w:r>
    </w:p>
    <w:p w:rsidR="00E7725A" w:rsidRDefault="002A4BA0" w:rsidP="009E2053">
      <w:pPr>
        <w:tabs>
          <w:tab w:val="center" w:pos="4680"/>
          <w:tab w:val="right" w:pos="9360"/>
        </w:tabs>
        <w:rPr>
          <w:rFonts w:eastAsiaTheme="minorEastAsia"/>
        </w:rPr>
      </w:pPr>
      <w:r>
        <w:rPr>
          <w:rFonts w:eastAsiaTheme="minorEastAsia"/>
        </w:rPr>
        <w:lastRenderedPageBreak/>
        <w:t xml:space="preserve">Deposits to the IRA and </w:t>
      </w:r>
      <w:proofErr w:type="spellStart"/>
      <w:proofErr w:type="gramStart"/>
      <w:r>
        <w:rPr>
          <w:rFonts w:eastAsiaTheme="minorEastAsia"/>
        </w:rPr>
        <w:t>roth</w:t>
      </w:r>
      <w:proofErr w:type="spellEnd"/>
      <w:proofErr w:type="gramEnd"/>
      <w:r w:rsidR="00B01F29">
        <w:rPr>
          <w:rFonts w:eastAsiaTheme="minorEastAsia"/>
        </w:rPr>
        <w:t xml:space="preserve"> accounts must not exceed any of these three:</w:t>
      </w:r>
      <w:r>
        <w:rPr>
          <w:rFonts w:eastAsiaTheme="minorEastAsia"/>
        </w:rPr>
        <w:t xml:space="preserve"> other income</w:t>
      </w:r>
      <w:r w:rsidR="00C663E2">
        <w:rPr>
          <w:rFonts w:eastAsiaTheme="minorEastAsia"/>
        </w:rPr>
        <w:t xml:space="preserve"> (o</w:t>
      </w:r>
      <w:r w:rsidR="00C663E2" w:rsidRPr="00C663E2">
        <w:rPr>
          <w:rFonts w:eastAsiaTheme="minorEastAsia"/>
          <w:vertAlign w:val="subscript"/>
        </w:rPr>
        <w:t>i</w:t>
      </w:r>
      <w:r w:rsidR="00C663E2">
        <w:rPr>
          <w:rFonts w:eastAsiaTheme="minorEastAsia"/>
        </w:rPr>
        <w:t>)</w:t>
      </w:r>
      <w:r>
        <w:rPr>
          <w:rFonts w:eastAsiaTheme="minorEastAsia"/>
        </w:rPr>
        <w:t>, IRS define maxi</w:t>
      </w:r>
      <w:r w:rsidR="00B01F29">
        <w:rPr>
          <w:rFonts w:eastAsiaTheme="minorEastAsia"/>
        </w:rPr>
        <w:t>m</w:t>
      </w:r>
      <w:r>
        <w:rPr>
          <w:rFonts w:eastAsiaTheme="minorEastAsia"/>
        </w:rPr>
        <w:t>um contribution</w:t>
      </w:r>
      <w:r w:rsidR="00C663E2">
        <w:rPr>
          <w:rFonts w:eastAsiaTheme="minorEastAsia"/>
        </w:rPr>
        <w:t xml:space="preserve"> (mc</w:t>
      </w:r>
      <w:r w:rsidR="00C663E2" w:rsidRPr="00C663E2">
        <w:rPr>
          <w:rFonts w:eastAsiaTheme="minorEastAsia"/>
          <w:vertAlign w:val="subscript"/>
        </w:rPr>
        <w:t>i</w:t>
      </w:r>
      <w:r w:rsidR="00C663E2">
        <w:rPr>
          <w:rFonts w:eastAsiaTheme="minorEastAsia"/>
        </w:rPr>
        <w:t>)</w:t>
      </w:r>
      <w:r>
        <w:rPr>
          <w:rFonts w:eastAsiaTheme="minorEastAsia"/>
        </w:rPr>
        <w:t xml:space="preserve"> or </w:t>
      </w:r>
      <w:r w:rsidR="00C663E2">
        <w:rPr>
          <w:rFonts w:eastAsiaTheme="minorEastAsia"/>
        </w:rPr>
        <w:t>user contribution level (</w:t>
      </w:r>
      <w:proofErr w:type="spellStart"/>
      <w:r w:rsidR="00C663E2">
        <w:rPr>
          <w:rFonts w:eastAsiaTheme="minorEastAsia"/>
        </w:rPr>
        <w:t>uc</w:t>
      </w:r>
      <w:r w:rsidR="00C663E2" w:rsidRPr="00C663E2">
        <w:rPr>
          <w:rFonts w:eastAsiaTheme="minorEastAsia"/>
          <w:vertAlign w:val="subscript"/>
        </w:rPr>
        <w:t>i</w:t>
      </w:r>
      <w:proofErr w:type="spellEnd"/>
      <w:r w:rsidR="00C663E2">
        <w:rPr>
          <w:rFonts w:eastAsiaTheme="minorEastAsia"/>
        </w:rPr>
        <w:t>). MAYBE: can add a specific variable for IRA to Roth conversions and not consider it to be done with deposits (</w:t>
      </w:r>
      <w:proofErr w:type="spellStart"/>
      <w:r w:rsidR="00C663E2">
        <w:rPr>
          <w:rFonts w:eastAsiaTheme="minorEastAsia"/>
        </w:rPr>
        <w:t>D</w:t>
      </w:r>
      <w:r w:rsidR="00C663E2" w:rsidRPr="00C663E2">
        <w:rPr>
          <w:rFonts w:eastAsiaTheme="minorEastAsia"/>
          <w:vertAlign w:val="subscript"/>
        </w:rPr>
        <w:t>ij</w:t>
      </w:r>
      <w:proofErr w:type="spellEnd"/>
      <w:r w:rsidR="00C663E2">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D65CE0">
        <w:rPr>
          <w:rFonts w:eastAsiaTheme="minorEastAsia"/>
        </w:rPr>
        <w:tab/>
        <w:t>(6’</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sidR="0046231C">
        <w:rPr>
          <w:rFonts w:eastAsiaTheme="minorEastAsia"/>
        </w:rPr>
        <w:t>-exclud</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r w:rsidR="007D6C99">
        <w:rPr>
          <w:rFonts w:eastAsiaTheme="minorEastAsia"/>
        </w:rPr>
        <w:t>old</w:t>
      </w:r>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r w:rsidR="007D6C99">
        <w:rPr>
          <w:rFonts w:eastAsiaTheme="minorEastAsia"/>
        </w:rPr>
        <w:t>old</w:t>
      </w:r>
      <w:r>
        <w:rPr>
          <w:rFonts w:eastAsiaTheme="minorEastAsia"/>
        </w:rPr>
        <w:t>)</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6"/>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lastRenderedPageBreak/>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lastRenderedPageBreak/>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lastRenderedPageBreak/>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lastRenderedPageBreak/>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lastRenderedPageBreak/>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about </w:t>
      </w:r>
      <w:proofErr w:type="spellStart"/>
      <w:r>
        <w:rPr>
          <w:rFonts w:eastAsiaTheme="minorEastAsia"/>
        </w:rPr>
        <w:t>fsic</w:t>
      </w:r>
      <w:proofErr w:type="spellEnd"/>
      <w:r>
        <w:rPr>
          <w:rFonts w:eastAsiaTheme="minorEastAsia"/>
        </w:rPr>
        <w:t xml:space="preserve"> (social security tax?)</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Current time row (input values)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Year to year rows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End row with final state of the values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D6C79" w:rsidRDefault="0079762D" w:rsidP="007E06C4">
      <w:pPr>
        <w:pStyle w:val="ListParagraph"/>
        <w:numPr>
          <w:ilvl w:val="2"/>
          <w:numId w:val="1"/>
        </w:numPr>
        <w:tabs>
          <w:tab w:val="center" w:pos="4680"/>
          <w:tab w:val="right" w:pos="9360"/>
        </w:tabs>
        <w:rPr>
          <w:rFonts w:eastAsiaTheme="minorEastAsia"/>
          <w:strike/>
          <w:color w:val="FF0000"/>
        </w:rPr>
      </w:pPr>
      <w:r w:rsidRPr="00ED6C79">
        <w:rPr>
          <w:rFonts w:eastAsiaTheme="minorEastAsia"/>
          <w:strike/>
          <w:color w:val="FF0000"/>
        </w:rPr>
        <w:t>I think I will need to add two TDRA and two ROTH accounts to correctly handle joint where both have these accounts (RMD differ, timelines differ, SS differs)</w:t>
      </w:r>
    </w:p>
    <w:p w:rsidR="00ED6C79" w:rsidRDefault="00ED6C79" w:rsidP="007E06C4">
      <w:pPr>
        <w:pStyle w:val="ListParagraph"/>
        <w:numPr>
          <w:ilvl w:val="2"/>
          <w:numId w:val="1"/>
        </w:numPr>
        <w:tabs>
          <w:tab w:val="center" w:pos="4680"/>
          <w:tab w:val="right" w:pos="9360"/>
        </w:tabs>
        <w:rPr>
          <w:rFonts w:eastAsiaTheme="minorEastAsia"/>
        </w:rPr>
      </w:pPr>
      <w:r>
        <w:rPr>
          <w:rFonts w:eastAsiaTheme="minorEastAsia"/>
        </w:rPr>
        <w:t xml:space="preserve">Think about: if want to enable the model to deposit money in any of the account types the it has to be present whether or not </w:t>
      </w:r>
      <w:proofErr w:type="spellStart"/>
      <w:proofErr w:type="gramStart"/>
      <w:r>
        <w:rPr>
          <w:rFonts w:eastAsiaTheme="minorEastAsia"/>
        </w:rPr>
        <w:t>its</w:t>
      </w:r>
      <w:proofErr w:type="spellEnd"/>
      <w:proofErr w:type="gramEnd"/>
      <w:r>
        <w:rPr>
          <w:rFonts w:eastAsiaTheme="minorEastAsia"/>
        </w:rPr>
        <w:t xml:space="preserve"> in the input file. Given this we could attach it to the primary retiree</w:t>
      </w:r>
      <w:r w:rsidR="004E65BD">
        <w:rPr>
          <w:rFonts w:eastAsiaTheme="minorEastAsia"/>
        </w:rPr>
        <w:t xml:space="preserve"> </w:t>
      </w:r>
    </w:p>
    <w:p w:rsidR="004E65BD" w:rsidRDefault="004E65BD" w:rsidP="004E65BD">
      <w:pPr>
        <w:pStyle w:val="ListParagraph"/>
        <w:numPr>
          <w:ilvl w:val="3"/>
          <w:numId w:val="1"/>
        </w:numPr>
        <w:tabs>
          <w:tab w:val="center" w:pos="4680"/>
          <w:tab w:val="right" w:pos="9360"/>
        </w:tabs>
        <w:rPr>
          <w:rFonts w:eastAsiaTheme="minorEastAsia"/>
        </w:rPr>
      </w:pPr>
      <w:r>
        <w:rPr>
          <w:rFonts w:eastAsiaTheme="minorEastAsia"/>
        </w:rPr>
        <w:lastRenderedPageBreak/>
        <w:t>Might help answer the question on whether a spouse should continue to contribute to IRA or Roth after another spouse retires</w:t>
      </w:r>
    </w:p>
    <w:p w:rsidR="004E65BD" w:rsidRDefault="004E65BD" w:rsidP="004E65BD">
      <w:pPr>
        <w:pStyle w:val="ListParagraph"/>
        <w:numPr>
          <w:ilvl w:val="4"/>
          <w:numId w:val="1"/>
        </w:numPr>
        <w:tabs>
          <w:tab w:val="center" w:pos="4680"/>
          <w:tab w:val="right" w:pos="9360"/>
        </w:tabs>
        <w:rPr>
          <w:rFonts w:eastAsiaTheme="minorEastAsia"/>
        </w:rPr>
      </w:pPr>
      <w:r>
        <w:rPr>
          <w:rFonts w:eastAsiaTheme="minorEastAsia"/>
        </w:rPr>
        <w:t>To add to the IRA you need to have taxable income of equal amount (not sure of the restriction for Roth)</w:t>
      </w:r>
    </w:p>
    <w:p w:rsidR="004E65BD" w:rsidRDefault="004E65BD" w:rsidP="004E65BD">
      <w:pPr>
        <w:pStyle w:val="ListParagraph"/>
        <w:numPr>
          <w:ilvl w:val="2"/>
          <w:numId w:val="1"/>
        </w:numPr>
        <w:tabs>
          <w:tab w:val="center" w:pos="4680"/>
          <w:tab w:val="right" w:pos="9360"/>
        </w:tabs>
        <w:rPr>
          <w:rFonts w:eastAsiaTheme="minorEastAsia"/>
        </w:rPr>
      </w:pP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4E65BD">
      <w:pPr>
        <w:pStyle w:val="ListParagraph"/>
        <w:numPr>
          <w:ilvl w:val="4"/>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741A5">
      <w:pPr>
        <w:pStyle w:val="ListParagraph"/>
        <w:numPr>
          <w:ilvl w:val="3"/>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5C0" w:rsidRDefault="001D55C0" w:rsidP="00AE3AD9">
      <w:pPr>
        <w:spacing w:after="0" w:line="240" w:lineRule="auto"/>
      </w:pPr>
      <w:r>
        <w:separator/>
      </w:r>
    </w:p>
  </w:endnote>
  <w:endnote w:type="continuationSeparator" w:id="0">
    <w:p w:rsidR="001D55C0" w:rsidRDefault="001D55C0"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240E4A" w:rsidRDefault="00240E4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94B36" w:rsidRPr="00994B36">
          <w:rPr>
            <w:rFonts w:asciiTheme="majorHAnsi" w:eastAsiaTheme="majorEastAsia" w:hAnsiTheme="majorHAnsi" w:cstheme="majorBidi"/>
            <w:noProof/>
            <w:sz w:val="28"/>
            <w:szCs w:val="28"/>
          </w:rPr>
          <w:t>14</w:t>
        </w:r>
        <w:r>
          <w:rPr>
            <w:rFonts w:asciiTheme="majorHAnsi" w:eastAsiaTheme="majorEastAsia" w:hAnsiTheme="majorHAnsi" w:cstheme="majorBidi"/>
            <w:noProof/>
            <w:sz w:val="28"/>
            <w:szCs w:val="28"/>
          </w:rPr>
          <w:fldChar w:fldCharType="end"/>
        </w:r>
      </w:p>
    </w:sdtContent>
  </w:sdt>
  <w:p w:rsidR="00240E4A" w:rsidRDefault="00240E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5C0" w:rsidRDefault="001D55C0" w:rsidP="00AE3AD9">
      <w:pPr>
        <w:spacing w:after="0" w:line="240" w:lineRule="auto"/>
      </w:pPr>
      <w:r>
        <w:separator/>
      </w:r>
    </w:p>
  </w:footnote>
  <w:footnote w:type="continuationSeparator" w:id="0">
    <w:p w:rsidR="001D55C0" w:rsidRDefault="001D55C0" w:rsidP="00AE3AD9">
      <w:pPr>
        <w:spacing w:after="0" w:line="240" w:lineRule="auto"/>
      </w:pPr>
      <w:r>
        <w:continuationSeparator/>
      </w:r>
    </w:p>
  </w:footnote>
  <w:footnote w:id="1">
    <w:p w:rsidR="00240E4A" w:rsidRDefault="00240E4A">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240E4A" w:rsidRDefault="00240E4A"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240E4A" w:rsidRDefault="00240E4A">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240E4A" w:rsidRDefault="00240E4A">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994B36" w:rsidRDefault="00994B36">
      <w:pPr>
        <w:pStyle w:val="FootnoteText"/>
      </w:pPr>
      <w:r>
        <w:rPr>
          <w:rStyle w:val="FootnoteReference"/>
        </w:rPr>
        <w:footnoteRef/>
      </w:r>
      <w:r>
        <w:t xml:space="preserve"> IRS 2017 </w:t>
      </w:r>
      <w:bookmarkStart w:id="0" w:name="_GoBack"/>
      <w:bookmarkEnd w:id="0"/>
      <w:r>
        <w:t>publication 590b.</w:t>
      </w:r>
    </w:p>
  </w:footnote>
  <w:footnote w:id="6">
    <w:p w:rsidR="00240E4A" w:rsidRDefault="00240E4A">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7">
    <w:p w:rsidR="00240E4A" w:rsidRDefault="00240E4A"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8">
    <w:p w:rsidR="00240E4A" w:rsidRDefault="00240E4A"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9">
    <w:p w:rsidR="00240E4A" w:rsidRDefault="00240E4A"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04C8C"/>
    <w:rsid w:val="00116DA4"/>
    <w:rsid w:val="00120DDD"/>
    <w:rsid w:val="00122488"/>
    <w:rsid w:val="00130181"/>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C4DCE"/>
    <w:rsid w:val="001D55C0"/>
    <w:rsid w:val="001E4C36"/>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82A87"/>
    <w:rsid w:val="00284FA5"/>
    <w:rsid w:val="0028648A"/>
    <w:rsid w:val="00291163"/>
    <w:rsid w:val="002A1ED6"/>
    <w:rsid w:val="002A4BA0"/>
    <w:rsid w:val="002A5AD9"/>
    <w:rsid w:val="002B0251"/>
    <w:rsid w:val="002C0E60"/>
    <w:rsid w:val="002C4F3D"/>
    <w:rsid w:val="002C55B2"/>
    <w:rsid w:val="002D3B19"/>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401D05"/>
    <w:rsid w:val="0041089A"/>
    <w:rsid w:val="00410CD1"/>
    <w:rsid w:val="004124A1"/>
    <w:rsid w:val="00430636"/>
    <w:rsid w:val="00443B5C"/>
    <w:rsid w:val="004549A7"/>
    <w:rsid w:val="00456EDC"/>
    <w:rsid w:val="00461F36"/>
    <w:rsid w:val="0046231C"/>
    <w:rsid w:val="00465138"/>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50038F"/>
    <w:rsid w:val="00502141"/>
    <w:rsid w:val="005065F4"/>
    <w:rsid w:val="0050730E"/>
    <w:rsid w:val="00515915"/>
    <w:rsid w:val="00521B97"/>
    <w:rsid w:val="00523231"/>
    <w:rsid w:val="00523DB5"/>
    <w:rsid w:val="005244C0"/>
    <w:rsid w:val="0053635D"/>
    <w:rsid w:val="00551532"/>
    <w:rsid w:val="0057416B"/>
    <w:rsid w:val="0057775C"/>
    <w:rsid w:val="00580509"/>
    <w:rsid w:val="0058644B"/>
    <w:rsid w:val="00594E4B"/>
    <w:rsid w:val="005A05F8"/>
    <w:rsid w:val="005A41F8"/>
    <w:rsid w:val="005B73B0"/>
    <w:rsid w:val="005C1869"/>
    <w:rsid w:val="005C220F"/>
    <w:rsid w:val="005C44B8"/>
    <w:rsid w:val="005C4AD9"/>
    <w:rsid w:val="005D6F27"/>
    <w:rsid w:val="005F097E"/>
    <w:rsid w:val="005F1C0C"/>
    <w:rsid w:val="00607CA2"/>
    <w:rsid w:val="00614AC6"/>
    <w:rsid w:val="006365F3"/>
    <w:rsid w:val="006400B8"/>
    <w:rsid w:val="00644253"/>
    <w:rsid w:val="00653214"/>
    <w:rsid w:val="006577E1"/>
    <w:rsid w:val="00661976"/>
    <w:rsid w:val="00663E24"/>
    <w:rsid w:val="00664904"/>
    <w:rsid w:val="00666EF9"/>
    <w:rsid w:val="00667D03"/>
    <w:rsid w:val="00685305"/>
    <w:rsid w:val="006870E7"/>
    <w:rsid w:val="00687E76"/>
    <w:rsid w:val="00687FC4"/>
    <w:rsid w:val="006A55F6"/>
    <w:rsid w:val="006C4847"/>
    <w:rsid w:val="006C5310"/>
    <w:rsid w:val="006C6B86"/>
    <w:rsid w:val="006E467C"/>
    <w:rsid w:val="006F1193"/>
    <w:rsid w:val="006F1B46"/>
    <w:rsid w:val="00700C88"/>
    <w:rsid w:val="00710215"/>
    <w:rsid w:val="0072311F"/>
    <w:rsid w:val="00730F29"/>
    <w:rsid w:val="007334D2"/>
    <w:rsid w:val="00733800"/>
    <w:rsid w:val="00733ECF"/>
    <w:rsid w:val="00735261"/>
    <w:rsid w:val="00735EA0"/>
    <w:rsid w:val="007513C2"/>
    <w:rsid w:val="00755240"/>
    <w:rsid w:val="007570F7"/>
    <w:rsid w:val="00761DD1"/>
    <w:rsid w:val="007624AE"/>
    <w:rsid w:val="00765F80"/>
    <w:rsid w:val="00767AAF"/>
    <w:rsid w:val="007846F8"/>
    <w:rsid w:val="00794BBC"/>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942C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8F7"/>
    <w:rsid w:val="009B4944"/>
    <w:rsid w:val="009B4EBB"/>
    <w:rsid w:val="009C3FC7"/>
    <w:rsid w:val="009C78B4"/>
    <w:rsid w:val="009D2443"/>
    <w:rsid w:val="009E2053"/>
    <w:rsid w:val="009F3449"/>
    <w:rsid w:val="009F45B4"/>
    <w:rsid w:val="009F6357"/>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32F4E"/>
    <w:rsid w:val="00C33410"/>
    <w:rsid w:val="00C346E4"/>
    <w:rsid w:val="00C40260"/>
    <w:rsid w:val="00C45314"/>
    <w:rsid w:val="00C5344B"/>
    <w:rsid w:val="00C547FC"/>
    <w:rsid w:val="00C62681"/>
    <w:rsid w:val="00C663E2"/>
    <w:rsid w:val="00C72CCC"/>
    <w:rsid w:val="00C7397D"/>
    <w:rsid w:val="00C75EAD"/>
    <w:rsid w:val="00C77976"/>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03F"/>
    <w:rsid w:val="00D16DFD"/>
    <w:rsid w:val="00D17BF1"/>
    <w:rsid w:val="00D20A04"/>
    <w:rsid w:val="00D26F5D"/>
    <w:rsid w:val="00D32796"/>
    <w:rsid w:val="00D350BC"/>
    <w:rsid w:val="00D45645"/>
    <w:rsid w:val="00D54057"/>
    <w:rsid w:val="00D55E13"/>
    <w:rsid w:val="00D61473"/>
    <w:rsid w:val="00D61FE7"/>
    <w:rsid w:val="00D65CE0"/>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728FC"/>
    <w:rsid w:val="00E7725A"/>
    <w:rsid w:val="00E85992"/>
    <w:rsid w:val="00E91CE0"/>
    <w:rsid w:val="00E94163"/>
    <w:rsid w:val="00E954DE"/>
    <w:rsid w:val="00E97033"/>
    <w:rsid w:val="00EB2661"/>
    <w:rsid w:val="00ED28D2"/>
    <w:rsid w:val="00ED2CB5"/>
    <w:rsid w:val="00ED6C79"/>
    <w:rsid w:val="00EE2DF0"/>
    <w:rsid w:val="00EE315C"/>
    <w:rsid w:val="00EE4350"/>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963D3"/>
    <w:rsid w:val="00FB1B80"/>
    <w:rsid w:val="00FC2F9B"/>
    <w:rsid w:val="00FC4A18"/>
    <w:rsid w:val="00FC51B2"/>
    <w:rsid w:val="00FD4174"/>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79733-9E57-47D0-B58C-52099C355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16748</TotalTime>
  <Pages>14</Pages>
  <Words>4949</Words>
  <Characters>28211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cp:lastPrinted>2017-08-23T17:31:00Z</cp:lastPrinted>
  <dcterms:created xsi:type="dcterms:W3CDTF">2017-09-04T16:20:00Z</dcterms:created>
  <dcterms:modified xsi:type="dcterms:W3CDTF">2017-10-05T01:00:00Z</dcterms:modified>
</cp:coreProperties>
</file>