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77777777" w:rsidR="00733800" w:rsidRDefault="00F14FAE" w:rsidP="00F14FAE">
      <w:pPr>
        <w:jc w:val="center"/>
      </w:pPr>
      <w:r>
        <w:t>A retirement planner and withdrawal optimization model</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commentRangeStart w:id="0"/>
      <w:r w:rsidR="00A4668E">
        <w:t xml:space="preserve">2017 tax code </w:t>
      </w:r>
      <w:commentRangeEnd w:id="0"/>
      <w:r w:rsidR="00E5257C">
        <w:rPr>
          <w:rStyle w:val="CommentReference"/>
        </w:rPr>
        <w:commentReference w:id="0"/>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1"/>
      <w:r>
        <w:t>ordinary income</w:t>
      </w:r>
      <w:commentRangeEnd w:id="1"/>
      <w:r w:rsidR="00E5257C">
        <w:rPr>
          <w:rStyle w:val="CommentReference"/>
        </w:rPr>
        <w:commentReference w:id="1"/>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EC3232" w14:textId="637CCEF6"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w:t>
      </w:r>
      <w:r w:rsidR="00496145">
        <w:lastRenderedPageBreak/>
        <w:t xml:space="preserve">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lastRenderedPageBreak/>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 xml:space="preserve">Notice that </w:t>
      </w:r>
      <w:proofErr w:type="spellStart"/>
      <w:r w:rsidR="007959FD">
        <w:rPr>
          <w:rFonts w:eastAsiaTheme="minorEastAsia"/>
        </w:rPr>
        <w:t>o</w:t>
      </w:r>
      <w:r w:rsidR="007959FD" w:rsidRPr="00DC71D3">
        <w:rPr>
          <w:rFonts w:eastAsiaTheme="minorEastAsia"/>
          <w:vertAlign w:val="superscript"/>
        </w:rPr>
        <w:t>t</w:t>
      </w:r>
      <w:r w:rsidR="007959FD" w:rsidRPr="00DC71D3">
        <w:rPr>
          <w:rFonts w:eastAsiaTheme="minorEastAsia"/>
          <w:vertAlign w:val="subscript"/>
        </w:rPr>
        <w:t>i</w:t>
      </w:r>
      <w:proofErr w:type="spellEnd"/>
      <w:r w:rsidR="007959FD">
        <w:rPr>
          <w:rFonts w:eastAsiaTheme="minorEastAsia"/>
        </w:rPr>
        <w:t xml:space="preserve"> in expression (6) must be greater than or equal to </w:t>
      </w:r>
      <w:proofErr w:type="spellStart"/>
      <w:r w:rsidR="007959FD">
        <w:rPr>
          <w:rFonts w:eastAsiaTheme="minorEastAsia"/>
        </w:rPr>
        <w:t>uc</w:t>
      </w:r>
      <w:r w:rsidR="007959FD" w:rsidRPr="00DC71D3">
        <w:rPr>
          <w:rFonts w:eastAsiaTheme="minorEastAsia"/>
          <w:vertAlign w:val="subscript"/>
        </w:rPr>
        <w:t>ij</w:t>
      </w:r>
      <w:proofErr w:type="spellEnd"/>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lastRenderedPageBreak/>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lastRenderedPageBreak/>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proofErr w:type="spellStart"/>
      <w:r>
        <w:rPr>
          <w:rFonts w:eastAsiaTheme="minorEastAsia"/>
        </w:rPr>
        <w:t>a’</w:t>
      </w:r>
      <w:proofErr w:type="spellEnd"/>
      <w:r>
        <w:rPr>
          <w:rFonts w:eastAsiaTheme="minorEastAsia"/>
        </w:rPr>
        <w:t>)</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proofErr w:type="spellStart"/>
      <w:r>
        <w:rPr>
          <w:rFonts w:eastAsiaTheme="minorEastAsia"/>
        </w:rPr>
        <w:t>a’</w:t>
      </w:r>
      <w:proofErr w:type="spellEnd"/>
      <w:r>
        <w:rPr>
          <w:rFonts w:eastAsiaTheme="minorEastAsia"/>
        </w:rPr>
        <w:t>)</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proofErr w:type="spellStart"/>
      <w:r>
        <w:rPr>
          <w:rFonts w:eastAsiaTheme="minorEastAsia"/>
        </w:rPr>
        <w:t>a’</w:t>
      </w:r>
      <w:proofErr w:type="spellEnd"/>
      <w:r>
        <w:rPr>
          <w:rFonts w:eastAsiaTheme="minorEastAsia"/>
        </w:rPr>
        <w:t>)</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lastRenderedPageBreak/>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lastRenderedPageBreak/>
        <w:t>NEED TO ENSURE SS WORKS correct if it has already started (i.e., we are already retired)</w:t>
      </w:r>
    </w:p>
    <w:p w14:paraId="7635011B" w14:textId="77777777" w:rsidR="0090571E" w:rsidRDefault="0090571E" w:rsidP="009F3449">
      <w:pPr>
        <w:pStyle w:val="ListParagraph"/>
        <w:numPr>
          <w:ilvl w:val="0"/>
          <w:numId w:val="3"/>
        </w:numPr>
        <w:rPr>
          <w:rFonts w:eastAsiaTheme="minorEastAsia"/>
        </w:rPr>
      </w:pPr>
      <w:bookmarkStart w:id="2" w:name="_GoBack"/>
      <w:bookmarkEnd w:id="2"/>
      <w:r>
        <w:rPr>
          <w:rFonts w:eastAsiaTheme="minorEastAsia"/>
        </w:rPr>
        <w:t xml:space="preserve">Add a discussion of the withdrawal schedule for ATRSI accounts specifically that the withdrawn money has to match the fraction for basis vs. non-basis. </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7-11-07T15:23:00Z" w:initials="Ma">
    <w:p w14:paraId="7E068406" w14:textId="77777777" w:rsidR="008705C3" w:rsidRDefault="008705C3">
      <w:pPr>
        <w:pStyle w:val="CommentText"/>
      </w:pPr>
      <w:r>
        <w:rPr>
          <w:rStyle w:val="CommentReference"/>
        </w:rPr>
        <w:annotationRef/>
      </w:r>
      <w:r>
        <w:t>Ref?</w:t>
      </w:r>
    </w:p>
  </w:comment>
  <w:comment w:id="1" w:author="Microsoft account" w:date="2017-11-07T15:21:00Z" w:initials="Ma">
    <w:p w14:paraId="5B03C2DA" w14:textId="77777777" w:rsidR="008705C3" w:rsidRDefault="008705C3">
      <w:pPr>
        <w:pStyle w:val="CommentText"/>
      </w:pPr>
      <w:r>
        <w:rPr>
          <w:rStyle w:val="CommentReference"/>
        </w:rPr>
        <w:annotationRef/>
      </w:r>
      <w:r>
        <w:t>Where is this defined? IRS 590b?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68406" w15:done="0"/>
  <w15:commentEx w15:paraId="5B03C2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B1B23" w14:textId="77777777" w:rsidR="00514C3D" w:rsidRDefault="00514C3D" w:rsidP="00AE3AD9">
      <w:pPr>
        <w:spacing w:after="0" w:line="240" w:lineRule="auto"/>
      </w:pPr>
      <w:r>
        <w:separator/>
      </w:r>
    </w:p>
  </w:endnote>
  <w:endnote w:type="continuationSeparator" w:id="0">
    <w:p w14:paraId="66A22B92" w14:textId="77777777" w:rsidR="00514C3D" w:rsidRDefault="00514C3D"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8705C3" w:rsidRDefault="008705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8705C3" w:rsidRDefault="008705C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BC76D9" w:rsidRPr="00BC76D9">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14:paraId="3CFD3215" w14:textId="77777777" w:rsidR="008705C3" w:rsidRDefault="008705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8705C3" w:rsidRDefault="00870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388A3" w14:textId="77777777" w:rsidR="00514C3D" w:rsidRDefault="00514C3D" w:rsidP="00AE3AD9">
      <w:pPr>
        <w:spacing w:after="0" w:line="240" w:lineRule="auto"/>
      </w:pPr>
      <w:r>
        <w:separator/>
      </w:r>
    </w:p>
  </w:footnote>
  <w:footnote w:type="continuationSeparator" w:id="0">
    <w:p w14:paraId="75343C85" w14:textId="77777777" w:rsidR="00514C3D" w:rsidRDefault="00514C3D" w:rsidP="00AE3AD9">
      <w:pPr>
        <w:spacing w:after="0" w:line="240" w:lineRule="auto"/>
      </w:pPr>
      <w:r>
        <w:continuationSeparator/>
      </w:r>
    </w:p>
  </w:footnote>
  <w:footnote w:id="1">
    <w:p w14:paraId="2ABCEF13" w14:textId="77777777" w:rsidR="008705C3" w:rsidRDefault="008705C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8705C3" w:rsidRDefault="008705C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8705C3" w:rsidRDefault="008705C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8705C3" w:rsidRDefault="008705C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8705C3" w:rsidRDefault="008705C3">
      <w:pPr>
        <w:pStyle w:val="FootnoteText"/>
      </w:pPr>
      <w:r>
        <w:rPr>
          <w:rStyle w:val="FootnoteReference"/>
        </w:rPr>
        <w:footnoteRef/>
      </w:r>
      <w:r>
        <w:t xml:space="preserve"> IRS 2017 publication 590b.</w:t>
      </w:r>
    </w:p>
  </w:footnote>
  <w:footnote w:id="6">
    <w:p w14:paraId="4ABA82A4" w14:textId="77777777" w:rsidR="008705C3" w:rsidRDefault="008705C3"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8705C3" w:rsidRDefault="008705C3"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8705C3" w:rsidRDefault="008705C3"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8705C3" w:rsidRDefault="008705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8705C3" w:rsidRDefault="008705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8705C3" w:rsidRDefault="00870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13202"/>
    <w:rsid w:val="0021514D"/>
    <w:rsid w:val="00220670"/>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4C3D"/>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A05F8"/>
    <w:rsid w:val="005A41F8"/>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7F7752"/>
    <w:rsid w:val="00800C91"/>
    <w:rsid w:val="0080250B"/>
    <w:rsid w:val="00811BFF"/>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3962"/>
    <w:rsid w:val="00965769"/>
    <w:rsid w:val="00967CC3"/>
    <w:rsid w:val="00970980"/>
    <w:rsid w:val="00972CBD"/>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642D"/>
    <w:rsid w:val="00E302E9"/>
    <w:rsid w:val="00E30358"/>
    <w:rsid w:val="00E31D91"/>
    <w:rsid w:val="00E3326F"/>
    <w:rsid w:val="00E343B5"/>
    <w:rsid w:val="00E4314D"/>
    <w:rsid w:val="00E44153"/>
    <w:rsid w:val="00E5257C"/>
    <w:rsid w:val="00E629B2"/>
    <w:rsid w:val="00E6607D"/>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D15D4-75A1-4697-A9B1-41F634A2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50360</TotalTime>
  <Pages>12</Pages>
  <Words>4485</Words>
  <Characters>25569</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cp:lastPrinted>2017-11-07T01:16:00Z</cp:lastPrinted>
  <dcterms:created xsi:type="dcterms:W3CDTF">2017-09-04T16:20:00Z</dcterms:created>
  <dcterms:modified xsi:type="dcterms:W3CDTF">2017-11-20T01:02:00Z</dcterms:modified>
</cp:coreProperties>
</file>