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In this document we will describe the objectives for using ARetirementP</w:t>
      </w:r>
      <w:r w:rsidR="000C535F">
        <w:rPr>
          <w:rFonts w:eastAsiaTheme="minorEastAsia"/>
        </w:rPr>
        <w:t>l</w:t>
      </w:r>
      <w:r>
        <w:rPr>
          <w:rFonts w:eastAsiaTheme="minorEastAsia"/>
        </w:rPr>
        <w:t>anner, some simple cases and how tos. For this there is a section on the models input specification as well as a section on the models output.</w:t>
      </w:r>
    </w:p>
    <w:p w:rsidR="00E82D26" w:rsidRDefault="00E82D26" w:rsidP="00A95BB2">
      <w:pPr>
        <w:rPr>
          <w:rFonts w:eastAsiaTheme="minorEastAsia"/>
        </w:rPr>
      </w:pPr>
      <w:r>
        <w:rPr>
          <w:rFonts w:eastAsiaTheme="minorEastAsia"/>
        </w:rPr>
        <w:t>ARetirementPlanner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DF46F7"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(RothRA)</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w:t>
      </w:r>
      <w:r>
        <w:rPr>
          <w:rFonts w:eastAsiaTheme="minorEastAsia"/>
        </w:rPr>
        <w:lastRenderedPageBreak/>
        <w:t>the RothRA account. IRA account balances go to the TDRA account and Roth IRA balances go to the RothRA account.</w:t>
      </w:r>
      <w:r w:rsidR="00770B76">
        <w:rPr>
          <w:rFonts w:eastAsiaTheme="minorEastAsia"/>
        </w:rPr>
        <w:t xml:space="preserve"> </w:t>
      </w:r>
    </w:p>
    <w:p w:rsidR="00EE1D53" w:rsidRDefault="0008729A" w:rsidP="00A95BB2">
      <w:pPr>
        <w:rPr>
          <w:rFonts w:eastAsiaTheme="minorEastAsia"/>
        </w:rPr>
      </w:pPr>
      <w:r>
        <w:rPr>
          <w:rFonts w:eastAsiaTheme="minorEastAsia"/>
        </w:rPr>
        <w:t>Get your feet wet: In this section we will describe a very basic application of ARetirementPlanner.</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r w:rsidR="00256CA0">
        <w:rPr>
          <w:rFonts w:eastAsiaTheme="minorEastAsia"/>
        </w:rPr>
        <w:t>ARetirementPlannerJointStartHere</w:t>
      </w:r>
      <w:r w:rsidR="00EE1D53" w:rsidRPr="00EE1D53">
        <w:rPr>
          <w:rFonts w:eastAsiaTheme="minorEastAsia"/>
        </w:rPr>
        <w:t>.toml</w:t>
      </w:r>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r w:rsidR="00256CA0">
        <w:rPr>
          <w:rFonts w:eastAsiaTheme="minorEastAsia"/>
        </w:rPr>
        <w:t>ARetirementPlannerSingleStartHere</w:t>
      </w:r>
      <w:r w:rsidR="00EE1D53" w:rsidRPr="00EE1D53">
        <w:rPr>
          <w:rFonts w:eastAsiaTheme="minorEastAsia"/>
        </w:rPr>
        <w:t>.toml</w:t>
      </w:r>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try.toml.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PS C:\plan&gt; ARetirementPlanner.exe try</w:t>
      </w:r>
      <w:r w:rsidR="00FD0945">
        <w:rPr>
          <w:rFonts w:eastAsiaTheme="minorEastAsia"/>
        </w:rPr>
        <w:t>.toml</w:t>
      </w:r>
      <w:r w:rsidRPr="00256CA0">
        <w:rPr>
          <w:rFonts w:eastAsiaTheme="minorEastAsia"/>
        </w:rPr>
        <w:t xml:space="preserve"> -va -</w:t>
      </w:r>
      <w:r w:rsidR="00D031B9">
        <w:rPr>
          <w:rFonts w:eastAsiaTheme="minorEastAsia"/>
        </w:rPr>
        <w:t>vt -vtb</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–va swich given on the command line causes the account transaction summary to be printed as here below. Only one account is documented because only one account is specified in try.toml. In addition to the withdrawal (fIRA), deposit (tIRA) and RMD reference (RDMref)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 There are no contributions. They would be specified in the tIRA column. </w:t>
      </w:r>
      <w:bookmarkStart w:id="0" w:name="_GoBack"/>
      <w:bookmarkEnd w:id="0"/>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 xml:space="preserve">The tax summary is displayed if the –vt switch is given on the command line. </w:t>
      </w:r>
      <w:r w:rsidR="00BE4005">
        <w:rPr>
          <w:rFonts w:eastAsiaTheme="minorEastAsia"/>
        </w:rPr>
        <w:t xml:space="preserve">Here we see the withdrawals from the TDRA account as they are taxed as ordinary income. Also the taxable portions of other income (TxbleO) and 85% of social security (TxbleSS). This is followed by the allowed deduction and exemptions (deduct) and the Total taxable income (T_inc). Early withdrawal penalties (earlyP) comes next followed by the federal tax amount (fedtax) and the marginal tax rate (mTaxB%). Next comes the withdrawals from ATRSI (fAftaTx) the fraction of these withdrawal that are not from basis (cgTax%) and the capital gains tax itself (cgTax). Finally the total federal tax, fedtax plus cgTax, is given (TFedTax) and the amount of spendable funds for the year (spndble).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–tb is given on the command line. This represents the tax brack</w:t>
      </w:r>
      <w:r w:rsidR="008D590F">
        <w:rPr>
          <w:rFonts w:eastAsiaTheme="minorEastAsia"/>
        </w:rPr>
        <w:t xml:space="preserve">et details for ordinary income (first table) and capital gain (second table). In these tables the new columns are the brackets. Above and below each of these marginal rate columns in the marginal rate itself, the heading (brcktN)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PlusEstate.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toml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r w:rsidRPr="0017537B">
        <w:rPr>
          <w:rFonts w:eastAsiaTheme="minorEastAsia"/>
        </w:rPr>
        <w:t>ARetirementPlannerJointExample.toml</w:t>
      </w:r>
    </w:p>
    <w:p w:rsidR="00256CA0" w:rsidRPr="0017537B" w:rsidRDefault="00256CA0" w:rsidP="00A95BB2">
      <w:pPr>
        <w:pStyle w:val="ListParagraph"/>
        <w:numPr>
          <w:ilvl w:val="0"/>
          <w:numId w:val="2"/>
        </w:numPr>
        <w:rPr>
          <w:rFonts w:eastAsiaTheme="minorEastAsia"/>
        </w:rPr>
      </w:pPr>
      <w:r w:rsidRPr="0017537B">
        <w:rPr>
          <w:rFonts w:eastAsiaTheme="minorEastAsia"/>
        </w:rPr>
        <w:t>ARetirementPlannerSingleExample.toml</w:t>
      </w:r>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The basis for the model input specification is the toml specification</w:t>
      </w:r>
      <w:r>
        <w:rPr>
          <w:rStyle w:val="FootnoteReference"/>
          <w:rFonts w:eastAsiaTheme="minorEastAsia"/>
        </w:rPr>
        <w:footnoteReference w:id="1"/>
      </w:r>
      <w:r>
        <w:rPr>
          <w:rFonts w:eastAsiaTheme="minorEastAsia"/>
        </w:rPr>
        <w:t xml:space="preserve"> with its library. The basic format is sections of information ‘[‘ section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‘StartHere’ toml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This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most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#retirement_type = 'joint' # defaults to joint, currently only joint is supported, could be single, joint (married)</w:t>
      </w:r>
    </w:p>
    <w:p w:rsidR="00626C2A" w:rsidRPr="00A34D8E" w:rsidRDefault="00626C2A" w:rsidP="00626C2A">
      <w:pPr>
        <w:rPr>
          <w:rFonts w:ascii="Courier New" w:hAnsi="Courier New" w:cs="Courier New"/>
        </w:rPr>
      </w:pPr>
      <w:r w:rsidRPr="00A34D8E">
        <w:rPr>
          <w:rFonts w:ascii="Courier New" w:hAnsi="Courier New" w:cs="Courier New"/>
        </w:rPr>
        <w:t>returns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r w:rsidRPr="00A34D8E">
        <w:rPr>
          <w:rFonts w:ascii="Courier New" w:hAnsi="Courier New" w:cs="Courier New"/>
        </w:rPr>
        <w:t>inflation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what to optimize for? 'Spending' or spending 'PlusEstate',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"PlusEstate"</w:t>
      </w:r>
    </w:p>
    <w:p w:rsidR="00A34D8E" w:rsidRDefault="00A34D8E" w:rsidP="00626C2A">
      <w:r>
        <w:t>Retiree Section Retiree is specified. If only one retiree is given the final portion of iam.final can be dropped</w:t>
      </w:r>
      <w:r w:rsidR="00E86AC2">
        <w:t xml:space="preserve">. However it must match with the final portion of TDRA and RothRA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primary = true  # retiree to have age listed first in the output (must choose one)</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E86AC2" w:rsidRDefault="00E86AC2" w:rsidP="00626C2A">
      <w:pPr>
        <w:rPr>
          <w:rFonts w:cstheme="minorHAnsi"/>
        </w:rPr>
      </w:pPr>
      <w:r>
        <w:rPr>
          <w:rFonts w:cstheme="minorHAnsi"/>
        </w:rPr>
        <w:t>A second retiree means that at least one must have the final portion of iam.final specified. It is possible to only specify one retiree for a joint plan if 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SocialSecurity.final must match the final portions given or not in the retiree section.</w:t>
      </w:r>
    </w:p>
    <w:p w:rsidR="00626C2A" w:rsidRPr="00A34D8E" w:rsidRDefault="00626C2A" w:rsidP="00626C2A">
      <w:pPr>
        <w:rPr>
          <w:rFonts w:ascii="Courier New" w:hAnsi="Courier New" w:cs="Courier New"/>
        </w:rPr>
      </w:pPr>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20_000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income.final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r w:rsidRPr="00A34D8E">
        <w:rPr>
          <w:rFonts w:ascii="Courier New" w:hAnsi="Courier New" w:cs="Courier New"/>
        </w:rPr>
        <w:t>#[income.taxfreeNoneInflationAdjustedAnuity]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false  #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r w:rsidRPr="00A34D8E">
        <w:rPr>
          <w:rFonts w:ascii="Courier New" w:hAnsi="Courier New" w:cs="Courier New"/>
        </w:rPr>
        <w:t>#[income.InflationAdjustedAnuity]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r w:rsidRPr="00A34D8E">
        <w:rPr>
          <w:rFonts w:ascii="Courier New" w:hAnsi="Courier New" w:cs="Courier New"/>
        </w:rPr>
        <w:t>#[income.rental]</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r w:rsidRPr="00A34D8E">
        <w:rPr>
          <w:rFonts w:ascii="Courier New" w:hAnsi="Courier New" w:cs="Courier New"/>
        </w:rPr>
        <w:t>#[desired.income]   # used when maximize = "PlusEstate"</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r w:rsidRPr="00A34D8E">
        <w:rPr>
          <w:rFonts w:ascii="Courier New" w:hAnsi="Courier New" w:cs="Courier New"/>
        </w:rPr>
        <w:t>#[max.income]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RothRA and ATRSI all contain a bal and rate options for the account balance and account specific rate. If the rate is not given the global rate will be used. </w:t>
      </w:r>
      <w:r w:rsidR="007D0329">
        <w:rPr>
          <w:rFonts w:cstheme="minorHAnsi"/>
        </w:rPr>
        <w:t xml:space="preserve">The final portion of the account.final section name must match with the final portion of the retiree section for the account </w:t>
      </w:r>
      <w:r w:rsidR="007D0329">
        <w:rPr>
          <w:rFonts w:cstheme="minorHAnsi"/>
        </w:rPr>
        <w:lastRenderedPageBreak/>
        <w:t xml:space="preserve">owner. ATRSI accounts have an additional field ‘basis’ for the amount of money contributed to the account. This is after tax money and will not be tax on withdrawal. </w:t>
      </w:r>
    </w:p>
    <w:p w:rsidR="00626C2A" w:rsidRPr="00A34D8E" w:rsidRDefault="00626C2A" w:rsidP="00626C2A">
      <w:pPr>
        <w:rPr>
          <w:rFonts w:ascii="Courier New" w:hAnsi="Courier New" w:cs="Courier New"/>
        </w:rPr>
      </w:pPr>
      <w:r w:rsidRPr="00A34D8E">
        <w:rPr>
          <w:rFonts w:ascii="Courier New" w:hAnsi="Courier New" w:cs="Courier New"/>
        </w:rPr>
        <w:t># pre-tax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200_000   # current balance </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#bal = 100_000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roth IRA accounts (RothRA)</w:t>
      </w:r>
    </w:p>
    <w:p w:rsidR="00626C2A" w:rsidRPr="00A34D8E" w:rsidRDefault="00626C2A" w:rsidP="00626C2A">
      <w:pPr>
        <w:rPr>
          <w:rFonts w:ascii="Courier New" w:hAnsi="Courier New" w:cs="Courier New"/>
        </w:rPr>
      </w:pPr>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#bal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#bal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r w:rsidRPr="00A34D8E">
        <w:rPr>
          <w:rFonts w:ascii="Courier New" w:hAnsi="Courier New" w:cs="Courier New"/>
        </w:rPr>
        <w:t>#[aftertax]</w:t>
      </w:r>
    </w:p>
    <w:p w:rsidR="00626C2A" w:rsidRPr="00A34D8E" w:rsidRDefault="00626C2A" w:rsidP="00626C2A">
      <w:pPr>
        <w:rPr>
          <w:rFonts w:ascii="Courier New" w:hAnsi="Courier New" w:cs="Courier New"/>
        </w:rPr>
      </w:pPr>
      <w:r w:rsidRPr="00A34D8E">
        <w:rPr>
          <w:rFonts w:ascii="Courier New" w:hAnsi="Courier New" w:cs="Courier New"/>
        </w:rPr>
        <w:t>#bal =   100_000 # current balance</w:t>
      </w:r>
    </w:p>
    <w:p w:rsidR="00626C2A" w:rsidRPr="00A34D8E" w:rsidRDefault="00626C2A" w:rsidP="00626C2A">
      <w:pPr>
        <w:rPr>
          <w:rFonts w:ascii="Courier New" w:hAnsi="Courier New" w:cs="Courier New"/>
        </w:rPr>
      </w:pPr>
      <w:r w:rsidRPr="00A34D8E">
        <w:rPr>
          <w:rFonts w:ascii="Courier New" w:hAnsi="Courier New" w:cs="Courier New"/>
        </w:rPr>
        <w:t>#basis = 50_000</w:t>
      </w:r>
      <w:r w:rsidRPr="00A34D8E">
        <w:rPr>
          <w:rFonts w:ascii="Courier New" w:hAnsi="Courier New" w:cs="Courier New"/>
        </w:rPr>
        <w:tab/>
        <w:t># Contributions to total, for capital gains tax</w:t>
      </w:r>
    </w:p>
    <w:p w:rsidR="00733800" w:rsidRPr="00A34D8E" w:rsidRDefault="00626C2A" w:rsidP="00626C2A">
      <w:pPr>
        <w:rPr>
          <w:rFonts w:ascii="Courier New" w:hAnsi="Courier New" w:cs="Courier New"/>
        </w:rPr>
      </w:pPr>
      <w:r w:rsidRPr="00A34D8E">
        <w:rPr>
          <w:rFonts w:ascii="Courier New" w:hAnsi="Courier New" w:cs="Courier New"/>
        </w:rPr>
        <w:t>#rate = 7.25    # defaults to global rate set above</w:t>
      </w:r>
    </w:p>
    <w:sectPr w:rsidR="00733800"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83" w:rsidRDefault="00F95283" w:rsidP="00A95BB2">
      <w:pPr>
        <w:spacing w:after="0" w:line="240" w:lineRule="auto"/>
      </w:pPr>
      <w:r>
        <w:separator/>
      </w:r>
    </w:p>
  </w:endnote>
  <w:endnote w:type="continuationSeparator" w:id="0">
    <w:p w:rsidR="00F95283" w:rsidRDefault="00F95283"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83" w:rsidRDefault="00F95283" w:rsidP="00A95BB2">
      <w:pPr>
        <w:spacing w:after="0" w:line="240" w:lineRule="auto"/>
      </w:pPr>
      <w:r>
        <w:separator/>
      </w:r>
    </w:p>
  </w:footnote>
  <w:footnote w:type="continuationSeparator" w:id="0">
    <w:p w:rsidR="00F95283" w:rsidRDefault="00F95283"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toml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6412A"/>
    <w:rsid w:val="0017537B"/>
    <w:rsid w:val="00176D3A"/>
    <w:rsid w:val="001F660E"/>
    <w:rsid w:val="001F7A53"/>
    <w:rsid w:val="00201BF3"/>
    <w:rsid w:val="0022423B"/>
    <w:rsid w:val="00256CA0"/>
    <w:rsid w:val="00282A87"/>
    <w:rsid w:val="002C3628"/>
    <w:rsid w:val="002E4673"/>
    <w:rsid w:val="002F0EC1"/>
    <w:rsid w:val="003165F3"/>
    <w:rsid w:val="00324D6B"/>
    <w:rsid w:val="003864B9"/>
    <w:rsid w:val="00396C5A"/>
    <w:rsid w:val="003A43E1"/>
    <w:rsid w:val="003B1583"/>
    <w:rsid w:val="003E2593"/>
    <w:rsid w:val="00480712"/>
    <w:rsid w:val="004B0E5A"/>
    <w:rsid w:val="004B4529"/>
    <w:rsid w:val="004D0ED1"/>
    <w:rsid w:val="004D34B2"/>
    <w:rsid w:val="004D6048"/>
    <w:rsid w:val="0050730E"/>
    <w:rsid w:val="00511D11"/>
    <w:rsid w:val="005244C0"/>
    <w:rsid w:val="0058644B"/>
    <w:rsid w:val="005F38D4"/>
    <w:rsid w:val="00626C2A"/>
    <w:rsid w:val="006577E1"/>
    <w:rsid w:val="00687E76"/>
    <w:rsid w:val="00733800"/>
    <w:rsid w:val="00733ECF"/>
    <w:rsid w:val="007513C2"/>
    <w:rsid w:val="00761DD1"/>
    <w:rsid w:val="00770B76"/>
    <w:rsid w:val="007A5DBF"/>
    <w:rsid w:val="007D0329"/>
    <w:rsid w:val="007E7B92"/>
    <w:rsid w:val="008774F2"/>
    <w:rsid w:val="00884A49"/>
    <w:rsid w:val="008C6DE9"/>
    <w:rsid w:val="008D590F"/>
    <w:rsid w:val="00907E41"/>
    <w:rsid w:val="00911694"/>
    <w:rsid w:val="009460FE"/>
    <w:rsid w:val="00946418"/>
    <w:rsid w:val="00951DAD"/>
    <w:rsid w:val="009A17B6"/>
    <w:rsid w:val="009B4EBB"/>
    <w:rsid w:val="009C3FC7"/>
    <w:rsid w:val="009C78B4"/>
    <w:rsid w:val="009F45B4"/>
    <w:rsid w:val="00A07FF3"/>
    <w:rsid w:val="00A221B1"/>
    <w:rsid w:val="00A27422"/>
    <w:rsid w:val="00A34D8E"/>
    <w:rsid w:val="00A5331E"/>
    <w:rsid w:val="00A762AF"/>
    <w:rsid w:val="00A874E0"/>
    <w:rsid w:val="00A95BB2"/>
    <w:rsid w:val="00AD2682"/>
    <w:rsid w:val="00AD511C"/>
    <w:rsid w:val="00AF23A7"/>
    <w:rsid w:val="00B35C3D"/>
    <w:rsid w:val="00B5799A"/>
    <w:rsid w:val="00B646E3"/>
    <w:rsid w:val="00BB15A8"/>
    <w:rsid w:val="00BE4005"/>
    <w:rsid w:val="00C1503E"/>
    <w:rsid w:val="00CA2725"/>
    <w:rsid w:val="00CC69BB"/>
    <w:rsid w:val="00CF67BD"/>
    <w:rsid w:val="00D031B9"/>
    <w:rsid w:val="00D32796"/>
    <w:rsid w:val="00D350BC"/>
    <w:rsid w:val="00D919FF"/>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95283"/>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2017-10-10T00:26:00Z</dcterms:created>
  <dcterms:modified xsi:type="dcterms:W3CDTF">2017-10-18T02:25:00Z</dcterms:modified>
</cp:coreProperties>
</file>