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2"/>
          <w:szCs w:val="32"/>
        </w:rPr>
        <w:t xml:space="preserve">Script automatizacion-sri: qué tiene de malo y qué hacer</w:t>
      </w:r>
    </w:p>
    <w:p>
      <w:pPr>
        <w:spacing w:after="200"/>
      </w:pPr>
      <w:r>
        <w:rPr>
          <w:i/>
          <w:iCs/>
          <w:color w:val="595959"/>
          <w:sz w:val="19"/>
          <w:szCs w:val="19"/>
        </w:rPr>
        <w:t xml:space="preserve">Revisión de C:\fintech\automatizacion-sri\descargar_comprobantes_sri.py y sus riesgos concretos  ·  25 de agosto de 2026</w:t>
      </w:r>
    </w:p>
    <w:p>
      <w:pPr>
        <w:pStyle w:val="Heading1"/>
        <w:spacing w:after="120" w:before="260"/>
      </w:pPr>
      <w:r>
        <w:rPr>
          <w:b/>
          <w:bCs/>
          <w:color w:val="1F4E79"/>
          <w:sz w:val="26"/>
          <w:szCs w:val="26"/>
        </w:rPr>
        <w:t xml:space="preserve">1. Qué hace exactamente este script</w:t>
      </w:r>
    </w:p>
    <w:p>
      <w:pPr>
        <w:spacing w:after="140"/>
      </w:pPr>
      <w:r>
        <w:rPr>
          <w:sz w:val="21"/>
          <w:szCs w:val="21"/>
        </w:rPr>
        <w:t xml:space="preserve">El script vive en la carpeta automatizacion-sri/ (fuera de la app principal fintech-back / fintech-frond) y hace dos cosas en cadena:</w:t>
      </w:r>
    </w:p>
    <w:p>
      <w:pPr>
        <w:pStyle w:val="ListParagraph"/>
        <w:numPr>
          <w:ilvl w:val="0"/>
          <w:numId w:val="2"/>
        </w:numPr>
        <w:spacing w:after="80"/>
      </w:pPr>
      <w:r>
        <w:rPr>
          <w:color w:val="B3261E"/>
          <w:sz w:val="21"/>
          <w:szCs w:val="21"/>
        </w:rPr>
        <w:t xml:space="preserve">Abre un navegador con Playwright, entra a srienlinea.sri.gob.ec e inicia sesión con tu usuario y clave REALES del SRI para descargar los XML de tus comprobantes electrónicos recibidos.</w:t>
      </w:r>
    </w:p>
    <w:p>
      <w:pPr>
        <w:pStyle w:val="ListParagraph"/>
        <w:numPr>
          <w:ilvl w:val="0"/>
          <w:numId w:val="2"/>
        </w:numPr>
        <w:spacing w:after="80"/>
      </w:pPr>
      <w:r>
        <w:rPr>
          <w:color w:val="1E7A34"/>
          <w:sz w:val="21"/>
          <w:szCs w:val="21"/>
        </w:rPr>
        <w:t xml:space="preserve">Con esos XML ya descargados, inicia sesión en tu propia app FinTech y los sube al endpoint de "Comprobantes Recibidos" (esta segunda parte sí está verificada contra tu backend real).</w:t>
      </w:r>
    </w:p>
    <w:p>
      <w:pPr>
        <w:spacing w:after="140"/>
      </w:pPr>
      <w:r>
        <w:rPr>
          <w:sz w:val="21"/>
          <w:szCs w:val="21"/>
        </w:rPr>
        <w:t xml:space="preserve">El propio README del script lo admite: el paso 1 se escribió sin poder probarlo contra el sitio real del SRI, así que es probable que falle o necesite ajustes.</w:t>
      </w:r>
    </w:p>
    <w:p>
      <w:pPr>
        <w:pStyle w:val="Heading1"/>
        <w:spacing w:after="120" w:before="260"/>
      </w:pPr>
      <w:r>
        <w:rPr>
          <w:b/>
          <w:bCs/>
          <w:color w:val="1F4E79"/>
          <w:sz w:val="26"/>
          <w:szCs w:val="26"/>
        </w:rPr>
        <w:t xml:space="preserve">2. Lo malo, punto por punto</w:t>
      </w:r>
    </w:p>
    <w:p>
      <w:pPr>
        <w:pStyle w:val="ListParagraph"/>
        <w:numPr>
          <w:ilvl w:val="0"/>
          <w:numId w:val="2"/>
        </w:numPr>
        <w:spacing w:after="80"/>
      </w:pPr>
      <w:r>
        <w:rPr>
          <w:color w:val="B3261E"/>
          <w:sz w:val="21"/>
          <w:szCs w:val="21"/>
        </w:rPr>
        <w:t xml:space="preserve">Guarda tu clave real del SRI en texto plano: el archivo credenciales.env (dentro de automatizacion-sri) tiene SRI_USUARIO y SRI_CLAVE sin cifrar, sentados en el disco de tu computadora. Cualquiera que abra ese archivo —o cualquier malware que llegue a esa máquina— se lleva tu clave del SRI completa.</w:t>
      </w:r>
    </w:p>
    <w:p>
      <w:pPr>
        <w:pStyle w:val="ListParagraph"/>
        <w:numPr>
          <w:ilvl w:val="0"/>
          <w:numId w:val="2"/>
        </w:numPr>
        <w:spacing w:after="80"/>
      </w:pPr>
      <w:r>
        <w:rPr>
          <w:color w:val="B3261E"/>
          <w:sz w:val="21"/>
          <w:szCs w:val="21"/>
        </w:rPr>
        <w:t xml:space="preserve">Es una automatización de navegador (RPA) sobre el portal privado del SRI, no una integración con un Web Service oficial. El SRI no publica ninguna API para esto: entrar así es, técnicamente, una "conexión no autorizada" según la propia investigación que ya revisamos.</w:t>
      </w:r>
    </w:p>
    <w:p>
      <w:pPr>
        <w:pStyle w:val="ListParagraph"/>
        <w:numPr>
          <w:ilvl w:val="0"/>
          <w:numId w:val="2"/>
        </w:numPr>
        <w:spacing w:after="80"/>
      </w:pPr>
      <w:r>
        <w:rPr>
          <w:color w:val="B36B00"/>
          <w:sz w:val="21"/>
          <w:szCs w:val="21"/>
        </w:rPr>
        <w:t xml:space="preserve">Los selectores (los botones y campos que el robot busca en la pantalla) son adivinados con múltiples alternativas "por si acaso", no confirmados contra el sitio real. Un selector equivocado puede hacer que el script haga clic en el lugar equivocado o se quede pegado a medio proceso.</w:t>
      </w:r>
    </w:p>
    <w:p>
      <w:pPr>
        <w:pStyle w:val="ListParagraph"/>
        <w:numPr>
          <w:ilvl w:val="0"/>
          <w:numId w:val="2"/>
        </w:numPr>
        <w:spacing w:after="80"/>
      </w:pPr>
      <w:r>
        <w:rPr>
          <w:color w:val="B3261E"/>
          <w:sz w:val="21"/>
          <w:szCs w:val="21"/>
        </w:rPr>
        <w:t xml:space="preserve">Está pensado para correr solo, todos los días, sin supervisión: el .ps1 lo registra en el Programador de Tareas de Windows con permisos "Highest" (los más altos), a una hora fija, sin que nadie mire la pantalla mientras corre.</w:t>
      </w:r>
    </w:p>
    <w:p>
      <w:pPr>
        <w:pStyle w:val="ListParagraph"/>
        <w:numPr>
          <w:ilvl w:val="0"/>
          <w:numId w:val="2"/>
        </w:numPr>
        <w:spacing w:after="80"/>
      </w:pPr>
      <w:r>
        <w:rPr>
          <w:color w:val="B36B00"/>
          <w:sz w:val="21"/>
          <w:szCs w:val="21"/>
        </w:rPr>
        <w:t xml:space="preserve">No hay forma de meter verificación en dos pasos (MFA) en este flujo: para que el robot pueda entrar solo, la cuenta prácticamente tiene que depender solo de usuario y clave, que es justo el escenario menos seguro.</w:t>
      </w:r>
    </w:p>
    <w:p>
      <w:pPr>
        <w:spacing w:after="140"/>
      </w:pPr>
      <w:r>
        <w:rPr>
          <w:sz w:val="21"/>
          <w:szCs w:val="21"/>
        </w:rPr>
        <w:t xml:space="preserve">Como contraste: el resto de tu proyecto sí hace las cosas bien. La firma electrónica (el .p12) se guarda cifrada con AES-256 en la base de datos, y los formularios 104/107 se generan solo como borrador, con una nota en el propio código para no imitar el sello o el estado "CUMPLIDA" del SRI. Este script es la única pieza que rompe ese patrón.</w:t>
      </w:r>
    </w:p>
    <w:p>
      <w:pPr>
        <w:pStyle w:val="Heading1"/>
        <w:spacing w:after="120" w:before="260"/>
      </w:pPr>
      <w:r>
        <w:rPr>
          <w:b/>
          <w:bCs/>
          <w:color w:val="1F4E79"/>
          <w:sz w:val="26"/>
          <w:szCs w:val="26"/>
        </w:rPr>
        <w:t xml:space="preserve">3. Riesgos concretos si lo dejas activo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261E" w:sz="4"/>
              <w:left w:val="single" w:color="B3261E" w:sz="24"/>
              <w:bottom w:val="single" w:color="B3261E" w:sz="4"/>
              <w:right w:val="single" w:color="B3261E" w:sz="4"/>
            </w:tcBorders>
            <w:shd w:fill="F2F2F2" w:val="clear"/>
            <w:tcMar>
              <w:top w:type="dxa" w:w="120"/>
              <w:left w:type="dxa" w:w="180"/>
              <w:bottom w:type="dxa" w:w="120"/>
              <w:right w:type="dxa" w:w="180"/>
            </w:tcMar>
          </w:tcPr>
          <w:p>
            <w:r>
              <w:rPr>
                <w:b/>
                <w:bCs/>
                <w:color w:val="B3261E"/>
                <w:sz w:val="21"/>
                <w:szCs w:val="21"/>
              </w:rPr>
              <w:t xml:space="preserve">Riesgo de seguridad (el más serio)</w:t>
            </w:r>
          </w:p>
          <w:p>
            <w:pPr>
              <w:spacing w:before="60"/>
            </w:pPr>
            <w:r>
              <w:rPr>
                <w:sz w:val="21"/>
                <w:szCs w:val="21"/>
              </w:rPr>
              <w:t xml:space="preserve">Si esa computadora se infecta, se pierde o alguien más accede a ella, tu clave del SRI queda expuesta en texto plano. Con ella, un tercero podría entrar como si fueras tú: ver tus declaraciones, autorizar notas de crédito falsas o cambiar tu domicilio tributario. El riesgo no es que FintechAI sea "ilegal": es que tu propia clave del SRI queda mal guardada.</w:t>
            </w:r>
          </w:p>
        </w:tc>
      </w:tr>
    </w:tbl>
    <w:p>
      <w:pPr>
        <w:spacing w:after="140"/>
      </w:pPr>
      <w:r>
        <w:rPr>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6B00" w:sz="4"/>
              <w:left w:val="single" w:color="B36B00" w:sz="24"/>
              <w:bottom w:val="single" w:color="B36B00" w:sz="4"/>
              <w:right w:val="single" w:color="B36B00" w:sz="4"/>
            </w:tcBorders>
            <w:shd w:fill="F2F2F2" w:val="clear"/>
            <w:tcMar>
              <w:top w:type="dxa" w:w="120"/>
              <w:left w:type="dxa" w:w="180"/>
              <w:bottom w:type="dxa" w:w="120"/>
              <w:right w:type="dxa" w:w="180"/>
            </w:tcMar>
          </w:tcPr>
          <w:p>
            <w:r>
              <w:rPr>
                <w:b/>
                <w:bCs/>
                <w:color w:val="B36B00"/>
                <w:sz w:val="21"/>
                <w:szCs w:val="21"/>
              </w:rPr>
              <w:t xml:space="preserve">Riesgo con el SRI</w:t>
            </w:r>
          </w:p>
          <w:p>
            <w:pPr>
              <w:spacing w:before="60"/>
            </w:pPr>
            <w:r>
              <w:rPr>
                <w:sz w:val="21"/>
                <w:szCs w:val="21"/>
              </w:rPr>
              <w:t xml:space="preserve">El portal del SRI puede detectar patrones de bot (tiempos de clic perfectos, mismo horario todos los días, mismo navegador headless) y bloquear la cuenta o la IP por seguridad. Además, usar el portal así puede incumplir sus términos de uso, aunque sea tu propia cuenta y tus propios datos.</w:t>
            </w:r>
          </w:p>
        </w:tc>
      </w:tr>
    </w:tbl>
    <w:p>
      <w:pPr>
        <w:spacing w:after="140"/>
      </w:pPr>
      <w:r>
        <w:rPr>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6B00" w:sz="4"/>
              <w:left w:val="single" w:color="B36B00" w:sz="24"/>
              <w:bottom w:val="single" w:color="B36B00" w:sz="4"/>
              <w:right w:val="single" w:color="B36B00" w:sz="4"/>
            </w:tcBorders>
            <w:shd w:fill="F2F2F2" w:val="clear"/>
            <w:tcMar>
              <w:top w:type="dxa" w:w="120"/>
              <w:left w:type="dxa" w:w="180"/>
              <w:bottom w:type="dxa" w:w="120"/>
              <w:right w:type="dxa" w:w="180"/>
            </w:tcMar>
          </w:tcPr>
          <w:p>
            <w:r>
              <w:rPr>
                <w:b/>
                <w:bCs/>
                <w:color w:val="B36B00"/>
                <w:sz w:val="21"/>
                <w:szCs w:val="21"/>
              </w:rPr>
              <w:t xml:space="preserve">Riesgo técnico / de datos</w:t>
            </w:r>
          </w:p>
          <w:p>
            <w:pPr>
              <w:spacing w:before="60"/>
            </w:pPr>
            <w:r>
              <w:rPr>
                <w:sz w:val="21"/>
                <w:szCs w:val="21"/>
              </w:rPr>
              <w:t xml:space="preserve">Si un selector falla a mitad de camino, el script puede subir información incompleta o quedarse a medias sin que te enteres — recién lo verías revisando el log al día siguiente. Tu backend sí deduplica por clave de acceso, así que no vas a duplicar facturas, pero sí puedes perder comprobantes de un día si el script se rompió esa madrugada.</w:t>
            </w:r>
          </w:p>
        </w:tc>
      </w:tr>
    </w:tbl>
    <w:p>
      <w:pPr>
        <w:pStyle w:val="Heading1"/>
        <w:spacing w:after="120" w:before="260"/>
      </w:pPr>
      <w:r>
        <w:rPr>
          <w:b/>
          <w:bCs/>
          <w:color w:val="1F4E79"/>
          <w:sz w:val="26"/>
          <w:szCs w:val="26"/>
        </w:rPr>
        <w:t xml:space="preserve">4. Qué desechar ahora mismo</w:t>
      </w:r>
    </w:p>
    <w:p>
      <w:pPr>
        <w:pStyle w:val="ListParagraph"/>
        <w:numPr>
          <w:ilvl w:val="0"/>
          <w:numId w:val="2"/>
        </w:numPr>
        <w:spacing w:after="80"/>
      </w:pPr>
      <w:r>
        <w:rPr>
          <w:color w:val="B3261E"/>
          <w:sz w:val="21"/>
          <w:szCs w:val="21"/>
        </w:rPr>
        <w:t xml:space="preserve">No corras configurar_tarea_windows.ps1 todavía. No registres la tarea en el Programador de Tareas de Windows: eso es lo que lo vuelve automático, diario y sin supervisión — es la parte más riesgosa de todas.</w:t>
      </w:r>
    </w:p>
    <w:p>
      <w:pPr>
        <w:pStyle w:val="ListParagraph"/>
        <w:numPr>
          <w:ilvl w:val="0"/>
          <w:numId w:val="2"/>
        </w:numPr>
        <w:spacing w:after="80"/>
      </w:pPr>
      <w:r>
        <w:rPr>
          <w:color w:val="B3261E"/>
          <w:sz w:val="21"/>
          <w:szCs w:val="21"/>
        </w:rPr>
        <w:t xml:space="preserve">No dejes credenciales.env con tu clave real del SRI guardada en texto plano por tiempo indefinido. Si la necesitas para probar, bórrala apenas termines la prueba.</w:t>
      </w:r>
    </w:p>
    <w:p>
      <w:pPr>
        <w:pStyle w:val="ListParagraph"/>
        <w:numPr>
          <w:ilvl w:val="0"/>
          <w:numId w:val="2"/>
        </w:numPr>
        <w:spacing w:after="80"/>
      </w:pPr>
      <w:r>
        <w:rPr>
          <w:color w:val="B3261E"/>
          <w:sz w:val="21"/>
          <w:szCs w:val="21"/>
        </w:rPr>
        <w:t xml:space="preserve">No corras el script en modo normal (sin --debug) hasta confirmar, viéndolo con tus propios ojos, que cada paso hace lo que el README dice que hace.</w:t>
      </w:r>
    </w:p>
    <w:p>
      <w:pPr>
        <w:pStyle w:val="Heading1"/>
        <w:spacing w:after="120" w:before="260"/>
      </w:pPr>
      <w:r>
        <w:rPr>
          <w:b/>
          <w:bCs/>
          <w:color w:val="1F4E79"/>
          <w:sz w:val="26"/>
          <w:szCs w:val="26"/>
        </w:rPr>
        <w:t xml:space="preserve">5. Qué sí puedes mantener</w:t>
      </w:r>
    </w:p>
    <w:p>
      <w:pPr>
        <w:pStyle w:val="ListParagraph"/>
        <w:numPr>
          <w:ilvl w:val="0"/>
          <w:numId w:val="2"/>
        </w:numPr>
        <w:spacing w:after="80"/>
      </w:pPr>
      <w:r>
        <w:rPr>
          <w:color w:val="1E7A34"/>
          <w:sz w:val="21"/>
          <w:szCs w:val="21"/>
        </w:rPr>
        <w:t xml:space="preserve">El paso 2 del script (subir los XML ya descargados a tu propia app) está bien: usa tu API real, con tu correo y contraseña de la app, y no toca el portal del SRI.</w:t>
      </w:r>
    </w:p>
    <w:p>
      <w:pPr>
        <w:pStyle w:val="ListParagraph"/>
        <w:numPr>
          <w:ilvl w:val="0"/>
          <w:numId w:val="2"/>
        </w:numPr>
        <w:spacing w:after="80"/>
      </w:pPr>
      <w:r>
        <w:rPr>
          <w:color w:val="1E7A34"/>
          <w:sz w:val="21"/>
          <w:szCs w:val="21"/>
        </w:rPr>
        <w:t xml:space="preserve">Si quieres seguir probando el paso 1, hazlo solo en modo --debug, manualmente, viendo el navegador en pantalla, y solo mientras estés presente — nunca como tarea programada.</w:t>
      </w:r>
    </w:p>
    <w:p>
      <w:pPr>
        <w:pStyle w:val="ListParagraph"/>
        <w:numPr>
          <w:ilvl w:val="0"/>
          <w:numId w:val="2"/>
        </w:numPr>
        <w:spacing w:after="80"/>
      </w:pPr>
      <w:r>
        <w:rPr>
          <w:color w:val="1E7A34"/>
          <w:sz w:val="21"/>
          <w:szCs w:val="21"/>
        </w:rPr>
        <w:t xml:space="preserve">La idea de fondo (traer tus comprobantes recibidos a la app automáticamente) es válida; lo que hay que cambiar es el medio. Antes de automatizar el portal, conviene preguntarle directamente al SRI (canal oficial, sección de Facturación Electrónica) si existe algún mecanismo autorizado para consultar comprobantes recibidos, en vez de seguir por el camino del scraping.</w:t>
      </w:r>
    </w:p>
    <w:p>
      <w:pPr>
        <w:pStyle w:val="ListParagraph"/>
        <w:numPr>
          <w:ilvl w:val="0"/>
          <w:numId w:val="2"/>
        </w:numPr>
        <w:spacing w:after="80"/>
      </w:pPr>
      <w:r>
        <w:rPr>
          <w:color w:val="1E7A34"/>
          <w:sz w:val="21"/>
          <w:szCs w:val="21"/>
        </w:rPr>
        <w:t xml:space="preserve">Mientras tanto, la alternativa más simple y segura es lo que tu propia app ya soporta: descargar el XML a mano desde el SRI y subirlo con el botón "Importar" que ya tienes en la pantalla de Comprobantes Recibidos.</w:t>
      </w:r>
    </w:p>
    <w:p>
      <w:pPr>
        <w:pStyle w:val="Heading1"/>
        <w:spacing w:after="120" w:before="260"/>
      </w:pPr>
      <w:r>
        <w:rPr>
          <w:b/>
          <w:bCs/>
          <w:color w:val="1F4E79"/>
          <w:sz w:val="26"/>
          <w:szCs w:val="26"/>
        </w:rPr>
        <w:t xml:space="preserve">6. Resumen</w:t>
      </w:r>
    </w:p>
    <w:p>
      <w:pPr>
        <w:spacing w:after="140"/>
      </w:pPr>
      <w:r>
        <w:rPr>
          <w:b/>
          <w:bCs/>
          <w:sz w:val="21"/>
          <w:szCs w:val="21"/>
        </w:rPr>
        <w:t xml:space="preserve">El script no es ilegal por sí mismo — es tu propia cuenta y tus propios datos — pero mezcla dos de los riesgos que la investigación ya había marcado como "no hacer": automatizar el portal del SRI en vez de usar un Web Service oficial, y guardar tu clave real del SRI sin cifrar para que un robot la use sola, todos los días, sin que nadie la supervise. Desactiva la tarea programada, no dejes la clave guardada más tiempo del necesario, y usa la importación manual mientras se resuelve un camino oficial.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2026-08-25T01:32:29.709Z</dcterms:created>
  <dcterms:modified xsi:type="dcterms:W3CDTF">2026-08-25T01:32:29.726Z</dcterms:modified>
</cp:coreProperties>
</file>

<file path=docProps/custom.xml><?xml version="1.0" encoding="utf-8"?>
<Properties xmlns="http://schemas.openxmlformats.org/officeDocument/2006/custom-properties" xmlns:vt="http://schemas.openxmlformats.org/officeDocument/2006/docPropsVTypes"/>
</file>