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>
      <w:pPr>
        <w:ind w:left="720" w:firstLine="0"/>
      </w:pPr>
      <w:r>
        <w:rPr>
          <w:rFonts w:ascii="Arial" w:hAnsi="Arial"/>
          <w:szCs w:val="24"/>
          <w:lang w:val="es-MX"/>
        </w:rPr>
        <w:t xml:space="preserve">Documento de prueba sintético del limpiador de metadatos. </w:t>
      </w:r>
    </w:p>
    <w:p>
      <w:r>
        <w:t>Segunda línea para que el paquete tenga más de un párrafo.</w:t>
      </w:r>
    </w:p>
    <w:sectPr>
      <w:pgSz w:w="11906" w:h="16838"/>
      <w:pgMar w:top="1417" w:right="1417" w:bottom="1417" w:left="1417"/>
    </w:sectPr>
  </w:body>
</w:document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zoom w:percent="100"/>
  <w:proofState w:spelling="clean" w:grammar="clean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  <w:rsid w:val="00FC693F"/>
    <w:pPr>
      <w:spacing w:after="120"/>
    </w:pPr>
  </w:style>
  <w:style w:type="character" w:default="1" w:styleId="DefaultParagraphFont">
    <w:name w:val="Default Paragraph Font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Documento sintético</dc:title>
</cp:coreProperties>
</file>