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 w:before="700" w:line="276"/>
        <w:jc w:val="center"/>
      </w:pPr>
      <w:r>
        <w:rPr>
          <w:rFonts w:ascii="Arial" w:cs="Arial" w:eastAsia="Arial" w:hAnsi="Arial"/>
          <w:b/>
          <w:bCs/>
          <w:color w:val="4C7DFF"/>
          <w:sz w:val="22"/>
          <w:szCs w:val="22"/>
        </w:rPr>
        <w:t xml:space="preserve">TECHNOVA SOLUTIONS</w:t>
      </w:r>
    </w:p>
    <w:p>
      <w:pPr>
        <w:spacing w:after="140" w:before="0" w:line="276"/>
        <w:jc w:val="center"/>
      </w:pPr>
      <w:r>
        <w:rPr>
          <w:rFonts w:ascii="Arial" w:cs="Arial" w:eastAsia="Arial" w:hAnsi="Arial"/>
          <w:b/>
          <w:bCs/>
          <w:color w:val="0B1230"/>
          <w:sz w:val="42"/>
          <w:szCs w:val="42"/>
        </w:rPr>
        <w:t xml:space="preserve">DOCUMENTACIÓN TÉCNICA</w:t>
      </w:r>
    </w:p>
    <w:p>
      <w:pPr>
        <w:spacing w:after="320" w:before="0" w:line="276"/>
        <w:jc w:val="center"/>
      </w:pPr>
      <w:r>
        <w:rPr>
          <w:rFonts w:ascii="Arial" w:cs="Arial" w:eastAsia="Arial" w:hAnsi="Arial"/>
          <w:b/>
          <w:bCs/>
          <w:color w:val="4C7DFF"/>
          <w:sz w:val="48"/>
          <w:szCs w:val="48"/>
        </w:rPr>
        <w:t xml:space="preserve">DASHBOARD</w:t>
      </w:r>
    </w:p>
    <w:p>
      <w:pPr>
        <w:spacing w:after="850" w:before="0" w:line="276"/>
        <w:jc w:val="center"/>
      </w:pPr>
      <w:r>
        <w:rPr>
          <w:rFonts w:ascii="Arial" w:cs="Arial" w:eastAsia="Arial" w:hAnsi="Arial"/>
          <w:color w:val="5D6988"/>
          <w:sz w:val="24"/>
          <w:szCs w:val="24"/>
        </w:rPr>
        <w:t xml:space="preserve">Arquitectura, funciones, integración y mantenimiento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0FF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color w:val="4C7DFF"/>
                <w:sz w:val="20"/>
                <w:szCs w:val="20"/>
              </w:rPr>
              <w:t xml:space="preserve">Estado del documento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7213C"/>
                <w:sz w:val="20"/>
                <w:szCs w:val="20"/>
              </w:rPr>
              <w:t xml:space="preserve">Versión 1.3.0 · 30 de agosto de 2026 · Documento vivo de mantenimiento</w:t>
            </w:r>
          </w:p>
        </w:tc>
      </w:tr>
    </w:tbl>
    <w:p>
      <w:pPr>
        <w:spacing w:after="120" w:before="650" w:line="276"/>
        <w:jc w:val="center"/>
      </w:pPr>
      <w:r>
        <w:rPr>
          <w:rFonts w:ascii="Arial" w:cs="Arial" w:eastAsia="Arial" w:hAnsi="Arial"/>
          <w:color w:val="5D6988"/>
          <w:sz w:val="18"/>
          <w:szCs w:val="18"/>
        </w:rPr>
        <w:t xml:space="preserve">C:\xampp\htdocs\xampp\TechNova Sistema\App</w:t>
      </w:r>
    </w:p>
    <w:p>
      <w:pPr>
        <w:spacing w:after="120" w:before="280" w:line="276"/>
        <w:jc w:val="center"/>
      </w:pPr>
      <w:r>
        <w:rPr>
          <w:rFonts w:ascii="Arial" w:cs="Arial" w:eastAsia="Arial" w:hAnsi="Arial"/>
          <w:i/>
          <w:iCs/>
          <w:color w:val="5D6988"/>
          <w:sz w:val="20"/>
          <w:szCs w:val="20"/>
        </w:rPr>
        <w:t xml:space="preserve">Frontend implementado · Backend preparado para integración posterior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B1230"/>
          <w:sz w:val="30"/>
          <w:szCs w:val="30"/>
        </w:rPr>
        <w:t xml:space="preserve">Control documental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50"/>
        <w:gridCol w:w="4850"/>
        <w:gridCol w:w="1760"/>
      </w:tblGrid>
      <w:tr>
        <w:trPr>
          <w:tblHeader/>
        </w:trPr>
        <w:tc>
          <w:tcPr>
            <w:tcW w:type="dxa" w:w="110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5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485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Cambio</w:t>
            </w:r>
          </w:p>
        </w:tc>
        <w:tc>
          <w:tcPr>
            <w:tcW w:type="dxa" w:w="176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1.0.0</w:t>
            </w:r>
          </w:p>
        </w:tc>
        <w:tc>
          <w:tcPr>
            <w:tcW w:type="dxa" w:w="165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23 de agosto de 2026</w:t>
            </w:r>
          </w:p>
        </w:tc>
        <w:tc>
          <w:tcPr>
            <w:tcW w:type="dxa" w:w="485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Documento técnico inicial del Dashboard</w:t>
            </w:r>
          </w:p>
        </w:tc>
        <w:tc>
          <w:tcPr>
            <w:tcW w:type="dxa" w:w="17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Equipo TechNova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1.1.0</w:t>
            </w:r>
          </w:p>
        </w:tc>
        <w:tc>
          <w:tcPr>
            <w:tcW w:type="dxa" w:w="165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27 de agosto de 2026</w:t>
            </w:r>
          </w:p>
        </w:tc>
        <w:tc>
          <w:tcPr>
            <w:tcW w:type="dxa" w:w="485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Explicación operativa del código por módulo y flujos de ejecución</w:t>
            </w:r>
          </w:p>
        </w:tc>
        <w:tc>
          <w:tcPr>
            <w:tcW w:type="dxa" w:w="17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Equipo TechNova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1.2.0</w:t>
            </w:r>
          </w:p>
        </w:tc>
        <w:tc>
          <w:tcPr>
            <w:tcW w:type="dxa" w:w="165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27 de agosto de 2026</w:t>
            </w:r>
          </w:p>
        </w:tc>
        <w:tc>
          <w:tcPr>
            <w:tcW w:type="dxa" w:w="485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Comentarios guía incorporados en HTML, CSS y JavaScript</w:t>
            </w:r>
          </w:p>
        </w:tc>
        <w:tc>
          <w:tcPr>
            <w:tcW w:type="dxa" w:w="17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Equipo TechNova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1.3.0</w:t>
            </w:r>
          </w:p>
        </w:tc>
        <w:tc>
          <w:tcPr>
            <w:tcW w:type="dxa" w:w="165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30 de agosto de 2026</w:t>
            </w:r>
          </w:p>
        </w:tc>
        <w:tc>
          <w:tcPr>
            <w:tcW w:type="dxa" w:w="485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Navbar centralizado con technova-navbar.js y estado activo declarativo</w:t>
            </w:r>
          </w:p>
        </w:tc>
        <w:tc>
          <w:tcPr>
            <w:tcW w:type="dxa" w:w="17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Equipo TechNova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0B1230"/>
          <w:sz w:val="30"/>
          <w:szCs w:val="30"/>
        </w:rPr>
        <w:t xml:space="preserve">Tabla de 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B1230"/>
          <w:sz w:val="30"/>
          <w:szCs w:val="30"/>
        </w:rPr>
        <w:t xml:space="preserve">1. Propósito y alcance</w:t>
      </w:r>
    </w:p>
    <w:p>
      <w:pPr>
        <w:spacing w:after="120" w:before="0" w:line="276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Referencia técnica del Dashboard administrativo. Describe estructura, dependencias, componentes, funciones públicas, contratos de datos, responsive, animaciones, accesibilidad y criterios de mantenimiento.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0FF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color w:val="4C7DFF"/>
                <w:sz w:val="20"/>
                <w:szCs w:val="20"/>
              </w:rPr>
              <w:t xml:space="preserve">Entrada activa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7213C"/>
                <w:sz w:val="20"/>
                <w:szCs w:val="20"/>
              </w:rPr>
              <w:t xml:space="preserve">index.html es la vista vigente. No debe confundirse con carpetas antiguas ni respaldos.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0B1230"/>
          <w:sz w:val="30"/>
          <w:szCs w:val="30"/>
        </w:rPr>
        <w:t xml:space="preserve">Arquitectura de la vista</w:t>
      </w:r>
    </w:p>
    <w:p>
      <w:pPr>
        <w:spacing w:after="120" w:before="0" w:line="276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La aplicación utiliza HTML semántico, CSS modular y JavaScript de navegador sin framework. Chart.js resuelve las gráficas y GSAP controla animaciones que requieren línea de tiempo. Los valores estáticos son fallback mientras los endpoints estén vacíos.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3960"/>
      </w:tblGrid>
      <w:tr>
        <w:trPr>
          <w:tblHeader/>
        </w:trPr>
        <w:tc>
          <w:tcPr>
            <w:tcW w:type="dxa" w:w="150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390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  <w:tc>
          <w:tcPr>
            <w:tcW w:type="dxa" w:w="396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 principal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Estructura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Markup, accesibilidad y puntos data-*</w:t>
            </w:r>
          </w:p>
        </w:tc>
        <w:tc>
          <w:tcPr>
            <w:tcW w:type="dxa" w:w="39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index.html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Presentación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Layout, Liquid Glass, responsive y estados</w:t>
            </w:r>
          </w:p>
        </w:tc>
        <w:tc>
          <w:tcPr>
            <w:tcW w:type="dxa" w:w="39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css/layout, navbar, header, cards, charts, expenses, investments y responsive.css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Comportamiento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Interacción, DOM, eventos y animaciones</w:t>
            </w:r>
          </w:p>
        </w:tc>
        <w:tc>
          <w:tcPr>
            <w:tcW w:type="dxa" w:w="39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technova-navbar.js, navbar.js, intro.js, dashboard-ui.js, dashboard-data.js, periods.js, expenses.js, notifications.js, investments.js, charts.js y app.js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Datos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Fetch JSON, validación y fallback</w:t>
            </w:r>
          </w:p>
        </w:tc>
        <w:tc>
          <w:tcPr>
            <w:tcW w:type="dxa" w:w="39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Atributos data-*-api y clientes JS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Backend futuro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Sesión, permisos, negocio y persistencia</w:t>
            </w:r>
          </w:p>
        </w:tc>
        <w:tc>
          <w:tcPr>
            <w:tcW w:type="dxa" w:w="39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API PHP/JSON fuera de App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4C7DFF"/>
          <w:sz w:val="25"/>
          <w:szCs w:val="25"/>
        </w:rPr>
        <w:t xml:space="preserve">Reglas de arquitectura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No introducir PHP dentro del HTML; consumir JSON mediante Fetch.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Mantener el orden de carga CSS y JavaScript.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Conservar los valores estáticos como fallback.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Usar atributos data-* como contrato estable.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Respetar prefers-reduced-motion y los breakpoints.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Actualizar el Word y su historial con cada cambio de la vista.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B1230"/>
          <w:sz w:val="30"/>
          <w:szCs w:val="30"/>
        </w:rPr>
        <w:t xml:space="preserve">2. Estructura funcional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260"/>
        <w:gridCol w:w="3200"/>
      </w:tblGrid>
      <w:tr>
        <w:trPr>
          <w:tblHeader/>
        </w:trPr>
        <w:tc>
          <w:tcPr>
            <w:tcW w:type="dxa" w:w="190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Bloque</w:t>
            </w:r>
          </w:p>
        </w:tc>
        <w:tc>
          <w:tcPr>
            <w:tcW w:type="dxa" w:w="426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  <w:tc>
          <w:tcPr>
            <w:tcW w:type="dxa" w:w="320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Implementación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Navbar lateral</w:t>
            </w:r>
          </w:p>
        </w:tc>
        <w:tc>
          <w:tcPr>
            <w:tcW w:type="dxa" w:w="42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Navegación compartida y Dashboard activo</w:t>
            </w:r>
          </w:p>
        </w:tc>
        <w:tc>
          <w:tcPr>
            <w:tcW w:type="dxa" w:w="32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technova-navbar.js + css/navbar/* + navbar.js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Encabezado</w:t>
            </w:r>
          </w:p>
        </w:tc>
        <w:tc>
          <w:tcPr>
            <w:tcW w:type="dxa" w:w="42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Título, periodo, nuevo proyecto y notificaciones</w:t>
            </w:r>
          </w:p>
        </w:tc>
        <w:tc>
          <w:tcPr>
            <w:tcW w:type="dxa" w:w="32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css/header/* + notifications.js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Tarjetas KPI</w:t>
            </w:r>
          </w:p>
        </w:tc>
        <w:tc>
          <w:tcPr>
            <w:tcW w:type="dxa" w:w="42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Proyectos, ingresos, ganancias, horas y clientes</w:t>
            </w:r>
          </w:p>
        </w:tc>
        <w:tc>
          <w:tcPr>
            <w:tcW w:type="dxa" w:w="32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data-kpi-* + dashboard-ui.js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Resumen financiero</w:t>
            </w:r>
          </w:p>
        </w:tc>
        <w:tc>
          <w:tcPr>
            <w:tcW w:type="dxa" w:w="42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Ingresos, costos y ganancias por periodo</w:t>
            </w:r>
          </w:p>
        </w:tc>
        <w:tc>
          <w:tcPr>
            <w:tcW w:type="dxa" w:w="32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Chart.js + charts.js + periods.js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Inversiones</w:t>
            </w:r>
          </w:p>
        </w:tc>
        <w:tc>
          <w:tcPr>
            <w:tcW w:type="dxa" w:w="42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Listado, gestor y estados</w:t>
            </w:r>
          </w:p>
        </w:tc>
        <w:tc>
          <w:tcPr>
            <w:tcW w:type="dxa" w:w="32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investments.js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Gastos</w:t>
            </w:r>
          </w:p>
        </w:tc>
        <w:tc>
          <w:tcPr>
            <w:tcW w:type="dxa" w:w="42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Resumen y recurrentes</w:t>
            </w:r>
          </w:p>
        </w:tc>
        <w:tc>
          <w:tcPr>
            <w:tcW w:type="dxa" w:w="32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expenses.js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Distribución de costos</w:t>
            </w:r>
          </w:p>
        </w:tc>
        <w:tc>
          <w:tcPr>
            <w:tcW w:type="dxa" w:w="42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Doughnut, total, leyenda y tooltip interno MXN</w:t>
            </w:r>
          </w:p>
        </w:tc>
        <w:tc>
          <w:tcPr>
            <w:tcW w:type="dxa" w:w="32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charts.js + cost-chart.css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Notificaciones</w:t>
            </w:r>
          </w:p>
        </w:tc>
        <w:tc>
          <w:tcPr>
            <w:tcW w:type="dxa" w:w="42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Panel, lectura y acciones</w:t>
            </w:r>
          </w:p>
        </w:tc>
        <w:tc>
          <w:tcPr>
            <w:tcW w:type="dxa" w:w="32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notifications.js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0B1230"/>
          <w:sz w:val="30"/>
          <w:szCs w:val="30"/>
        </w:rPr>
        <w:t xml:space="preserve">3. Inventario de archivos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616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index.html</w:t>
            </w:r>
          </w:p>
        </w:tc>
        <w:tc>
          <w:tcPr>
            <w:tcW w:type="dxa" w:w="61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Composición, semántica y fallback.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css/globals.css</w:t>
            </w:r>
          </w:p>
        </w:tc>
        <w:tc>
          <w:tcPr>
            <w:tcW w:type="dxa" w:w="61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Fuentes y reglas globales.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css/layout/*</w:t>
            </w:r>
          </w:p>
        </w:tc>
        <w:tc>
          <w:tcPr>
            <w:tcW w:type="dxa" w:w="61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Estructura principal.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css/navbar/*</w:t>
            </w:r>
          </w:p>
        </w:tc>
        <w:tc>
          <w:tcPr>
            <w:tcW w:type="dxa" w:w="61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Navbar compartido, toggle y estado activo.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css/header/*</w:t>
            </w:r>
          </w:p>
        </w:tc>
        <w:tc>
          <w:tcPr>
            <w:tcW w:type="dxa" w:w="61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Encabezado y controles.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css/cards/*</w:t>
            </w:r>
          </w:p>
        </w:tc>
        <w:tc>
          <w:tcPr>
            <w:tcW w:type="dxa" w:w="61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KPI y responsive.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css/charts/*</w:t>
            </w:r>
          </w:p>
        </w:tc>
        <w:tc>
          <w:tcPr>
            <w:tcW w:type="dxa" w:w="61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Gráficas financiera y costos.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css/expenses/*</w:t>
            </w:r>
          </w:p>
        </w:tc>
        <w:tc>
          <w:tcPr>
            <w:tcW w:type="dxa" w:w="61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Gastos.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css/investments/*</w:t>
            </w:r>
          </w:p>
        </w:tc>
        <w:tc>
          <w:tcPr>
            <w:tcW w:type="dxa" w:w="61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Inversiones.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css/notifications/*</w:t>
            </w:r>
          </w:p>
        </w:tc>
        <w:tc>
          <w:tcPr>
            <w:tcW w:type="dxa" w:w="61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Botón y panel.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css/responsive.css</w:t>
            </w:r>
          </w:p>
        </w:tc>
        <w:tc>
          <w:tcPr>
            <w:tcW w:type="dxa" w:w="61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Desktop, tablet y móvil.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js/dashboard-ui.js</w:t>
            </w:r>
          </w:p>
        </w:tc>
        <w:tc>
          <w:tcPr>
            <w:tcW w:type="dxa" w:w="61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Contadores y actualización KPI.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js/dashboard-data.js</w:t>
            </w:r>
          </w:p>
        </w:tc>
        <w:tc>
          <w:tcPr>
            <w:tcW w:type="dxa" w:w="61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Carga opcional JSON.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js/charts.js</w:t>
            </w:r>
          </w:p>
        </w:tc>
        <w:tc>
          <w:tcPr>
            <w:tcW w:type="dxa" w:w="61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Gráficas, tooltips y periodos.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js/intro.js</w:t>
            </w:r>
          </w:p>
        </w:tc>
        <w:tc>
          <w:tcPr>
            <w:tcW w:type="dxa" w:w="61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Presentación GSAP.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0B1230"/>
          <w:sz w:val="30"/>
          <w:szCs w:val="30"/>
        </w:rPr>
        <w:t xml:space="preserve">4. Orden de carga</w:t>
      </w:r>
    </w:p>
    <w:p>
      <w:pPr>
        <w:spacing w:after="120" w:before="0" w:line="276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Chart.js debe cargarse antes de charts.js; GSAP antes de módulos animados; dashboard-ui.js antes de dashboard-data.js; app.js permanece al final.</w:t>
      </w:r>
    </w:p>
    <w:p>
      <w:pPr>
        <w:shd w:fill="F3F6FC" w:color="auto" w:val="clear"/>
        <w:spacing w:after="100" w:before="40"/>
        <w:ind w:left="180" w:right="180"/>
      </w:pPr>
      <w:r>
        <w:rPr>
          <w:rFonts w:ascii="Consolas" w:cs="Consolas" w:eastAsia="Consolas" w:hAnsi="Consolas"/>
          <w:color w:val="24345A"/>
          <w:sz w:val="18"/>
          <w:szCs w:val="18"/>
        </w:rPr>
        <w:t xml:space="preserve">technova-navbar.js → navbar.js → chart.umd.js → gsap → intro.js → dashboard-ui.js → dashboard-data.js → periods.js → expenses.js → notifications.js → investments.js → charts.js → app.js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B1230"/>
          <w:sz w:val="30"/>
          <w:szCs w:val="30"/>
        </w:rPr>
        <w:t xml:space="preserve">5. Funciones y API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rPr>
          <w:tblHeader/>
        </w:trPr>
        <w:tc>
          <w:tcPr>
            <w:tcW w:type="dxa" w:w="390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Interfaz</w:t>
            </w:r>
          </w:p>
        </w:tc>
        <w:tc>
          <w:tcPr>
            <w:tcW w:type="dxa" w:w="546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</w:tr>
      <w:tr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TechNovaDashboard.updateDashboardKpis(data)</w:t>
            </w:r>
          </w:p>
        </w:tc>
        <w:tc>
          <w:tcPr>
            <w:tcW w:type="dxa" w:w="54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Actualiza los cinco KPI.</w:t>
            </w:r>
          </w:p>
        </w:tc>
      </w:tr>
      <w:tr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TechNovaDashboard.loadDashboardSummary(endpoint)</w:t>
            </w:r>
          </w:p>
        </w:tc>
        <w:tc>
          <w:tcPr>
            <w:tcW w:type="dxa" w:w="54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Solicita el resumen JSON y conserva fallback ante error.</w:t>
            </w:r>
          </w:p>
        </w:tc>
      </w:tr>
      <w:tr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updateCostChart(values, labels)</w:t>
            </w:r>
          </w:p>
        </w:tc>
        <w:tc>
          <w:tcPr>
            <w:tcW w:type="dxa" w:w="54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Actualiza la distribución de costos.</w:t>
            </w:r>
          </w:p>
        </w:tc>
      </w:tr>
      <w:tr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updateCostChartFromObject(data)</w:t>
            </w:r>
          </w:p>
        </w:tc>
        <w:tc>
          <w:tcPr>
            <w:tcW w:type="dxa" w:w="54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Adapta un objeto a la gráfica circular.</w:t>
            </w:r>
          </w:p>
        </w:tc>
      </w:tr>
      <w:tr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updateFinancialChart(data)</w:t>
            </w:r>
          </w:p>
        </w:tc>
        <w:tc>
          <w:tcPr>
            <w:tcW w:type="dxa" w:w="54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Actualiza etiquetas y series financieras.</w:t>
            </w:r>
          </w:p>
        </w:tc>
      </w:tr>
      <w:tr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replayFinancialChart()</w:t>
            </w:r>
          </w:p>
        </w:tc>
        <w:tc>
          <w:tcPr>
            <w:tcW w:type="dxa" w:w="54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Reproduce el trazado inicial.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0B1230"/>
          <w:sz w:val="30"/>
          <w:szCs w:val="30"/>
        </w:rPr>
        <w:t xml:space="preserve">6. Cómo funciona el código del Dashboard</w:t>
      </w:r>
    </w:p>
    <w:p>
      <w:pPr>
        <w:spacing w:after="120" w:before="0" w:line="276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Esta sección explica el comportamiento real por módulo. Cada flujo inicia con un evento o dato, pasa por una función coordinadora y termina actualizando el DOM, una gráfica o un estado accesible.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4C7DFF"/>
          <w:sz w:val="25"/>
          <w:szCs w:val="25"/>
        </w:rPr>
        <w:t xml:space="preserve">6.1 Navbar compartido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4300"/>
        <w:gridCol w:w="2310"/>
      </w:tblGrid>
      <w:tr>
        <w:trPr>
          <w:tblHeader/>
        </w:trPr>
        <w:tc>
          <w:tcPr>
            <w:tcW w:type="dxa" w:w="275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430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  <w:tc>
          <w:tcPr>
            <w:tcW w:type="dxa" w:w="231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275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navbar.js → syncNavbarState()</w:t>
            </w:r>
          </w:p>
        </w:tc>
        <w:tc>
          <w:tcPr>
            <w:tcW w:type="dxa" w:w="43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Comprueba window.innerWidth. En escritorio limpia el estado móvil; en tablet/móvil conserva el menú colapsable.</w:t>
            </w:r>
          </w:p>
        </w:tc>
        <w:tc>
          <w:tcPr>
            <w:tcW w:type="dxa" w:w="231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El mismo navbar funciona sin duplicarse.</w:t>
            </w:r>
          </w:p>
        </w:tc>
      </w:tr>
      <w:tr>
        <w:tc>
          <w:tcPr>
            <w:tcW w:type="dxa" w:w="275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menu-toggle click</w:t>
            </w:r>
          </w:p>
        </w:tc>
        <w:tc>
          <w:tcPr>
            <w:tcW w:type="dxa" w:w="43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Alterna la clase de apertura y actualiza aria-expanded.</w:t>
            </w:r>
          </w:p>
        </w:tc>
        <w:tc>
          <w:tcPr>
            <w:tcW w:type="dxa" w:w="231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Abre/cierra navegación y comunica el estado a lectores de pantalla.</w:t>
            </w:r>
          </w:p>
        </w:tc>
      </w:tr>
      <w:tr>
        <w:tc>
          <w:tcPr>
            <w:tcW w:type="dxa" w:w="275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document keydown</w:t>
            </w:r>
          </w:p>
        </w:tc>
        <w:tc>
          <w:tcPr>
            <w:tcW w:type="dxa" w:w="43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Escucha Escape y restablece el estado cerrado.</w:t>
            </w:r>
          </w:p>
        </w:tc>
        <w:tc>
          <w:tcPr>
            <w:tcW w:type="dxa" w:w="231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Evita que el menú quede bloqueando la interfaz.</w:t>
            </w:r>
          </w:p>
        </w:tc>
      </w:tr>
      <w:tr>
        <w:tc>
          <w:tcPr>
            <w:tcW w:type="dxa" w:w="275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active="dashboard"</w:t>
            </w:r>
          </w:p>
        </w:tc>
        <w:tc>
          <w:tcPr>
            <w:tcW w:type="dxa" w:w="43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technova-navbar.js genera aria-current="page".</w:t>
            </w:r>
          </w:p>
        </w:tc>
        <w:tc>
          <w:tcPr>
            <w:tcW w:type="dxa" w:w="231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Dashboard queda iluminado únicamente en index.html.</w:t>
            </w:r>
          </w:p>
        </w:tc>
      </w:tr>
    </w:tbl>
    <w:p>
      <w:pPr>
        <w:shd w:fill="F3F6FC" w:color="auto" w:val="clear"/>
        <w:spacing w:after="100" w:before="40"/>
        <w:ind w:left="180" w:right="180"/>
      </w:pPr>
      <w:r>
        <w:rPr>
          <w:rFonts w:ascii="Consolas" w:cs="Consolas" w:eastAsia="Consolas" w:hAnsi="Consolas"/>
          <w:color w:val="24345A"/>
          <w:sz w:val="18"/>
          <w:szCs w:val="18"/>
        </w:rPr>
        <w:t xml:space="preserve">toggleButton.addEventListener('click', function () { /* alterna estado y aria-expanded */ });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4C7DFF"/>
          <w:sz w:val="25"/>
          <w:szCs w:val="25"/>
        </w:rPr>
        <w:t xml:space="preserve">6.2 Carga de KPI y contadores</w:t>
      </w:r>
    </w:p>
    <w:p>
      <w:pPr>
        <w:spacing w:after="120" w:before="0" w:line="276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dashboard-data.js lee data-dashboard-api. Si está vacío termina sin hacer Fetch. Si existe una ruta, loadDashboardSummary() solicita JSON con credentials same-origin, valida el objeto y entrega la respuesta a updateDashboardKpis().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0"/>
        <w:gridCol w:w="4200"/>
        <w:gridCol w:w="2310"/>
      </w:tblGrid>
      <w:tr>
        <w:trPr>
          <w:tblHeader/>
        </w:trPr>
        <w:tc>
          <w:tcPr>
            <w:tcW w:type="dxa" w:w="285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420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Proceso interno</w:t>
            </w:r>
          </w:p>
        </w:tc>
        <w:tc>
          <w:tcPr>
            <w:tcW w:type="dxa" w:w="231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Salida</w:t>
            </w:r>
          </w:p>
        </w:tc>
      </w:tr>
      <w:tr>
        <w:tc>
          <w:tcPr>
            <w:tcW w:type="dxa" w:w="285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updateDashboardKpis(responseData)</w:t>
            </w:r>
          </w:p>
        </w:tc>
        <w:tc>
          <w:tcPr>
            <w:tcW w:type="dxa" w:w="42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Busca nodos data-kpi-value y data-kpi-change por clave; normaliza prefijos, sufijos y periodo.</w:t>
            </w:r>
          </w:p>
        </w:tc>
        <w:tc>
          <w:tcPr>
            <w:tcW w:type="dxa" w:w="231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Actualiza cinco tarjetas sin reconstruir su HTML.</w:t>
            </w:r>
          </w:p>
        </w:tc>
      </w:tr>
      <w:tr>
        <w:tc>
          <w:tcPr>
            <w:tcW w:type="dxa" w:w="285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parseCounterValue(text)</w:t>
            </w:r>
          </w:p>
        </w:tc>
        <w:tc>
          <w:tcPr>
            <w:tcW w:type="dxa" w:w="42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Separa número, prefijo y sufijo del texto actual.</w:t>
            </w:r>
          </w:p>
        </w:tc>
        <w:tc>
          <w:tcPr>
            <w:tcW w:type="dxa" w:w="231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Permite animar moneda, horas y cantidades.</w:t>
            </w:r>
          </w:p>
        </w:tc>
      </w:tr>
      <w:tr>
        <w:tc>
          <w:tcPr>
            <w:tcW w:type="dxa" w:w="285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animateCounter(element, target)</w:t>
            </w:r>
          </w:p>
        </w:tc>
        <w:tc>
          <w:tcPr>
            <w:tcW w:type="dxa" w:w="42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Interpola desde el valor visible hasta el nuevo valor; respeta reduced motion.</w:t>
            </w:r>
          </w:p>
        </w:tc>
        <w:tc>
          <w:tcPr>
            <w:tcW w:type="dxa" w:w="231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Cambio numérico suave y reutilizable.</w:t>
            </w:r>
          </w:p>
        </w:tc>
      </w:tr>
      <w:tr>
        <w:tc>
          <w:tcPr>
            <w:tcW w:type="dxa" w:w="285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startTechNovaCounters()</w:t>
            </w:r>
          </w:p>
        </w:tc>
        <w:tc>
          <w:tcPr>
            <w:tcW w:type="dxa" w:w="42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Inicia contadores cuando la presentación principal emite su señal.</w:t>
            </w:r>
          </w:p>
        </w:tc>
        <w:tc>
          <w:tcPr>
            <w:tcW w:type="dxa" w:w="231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Evita que la animación ocurra antes de mostrar la vista.</w:t>
            </w:r>
          </w:p>
        </w:tc>
      </w:tr>
    </w:tbl>
    <w:p>
      <w:pPr>
        <w:shd w:fill="F3F6FC" w:color="auto" w:val="clear"/>
        <w:spacing w:after="100" w:before="40"/>
        <w:ind w:left="180" w:right="180"/>
      </w:pPr>
      <w:r>
        <w:rPr>
          <w:rFonts w:ascii="Consolas" w:cs="Consolas" w:eastAsia="Consolas" w:hAnsi="Consolas"/>
          <w:color w:val="24345A"/>
          <w:sz w:val="18"/>
          <w:szCs w:val="18"/>
        </w:rPr>
        <w:t xml:space="preserve">data-dashboard-api → fetch(JSON) → updateDashboardKpis(data) → animateCounter() → DOM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4C7DFF"/>
          <w:sz w:val="25"/>
          <w:szCs w:val="25"/>
        </w:rPr>
        <w:t xml:space="preserve">6.3 Periodos financieros y de reporte</w:t>
      </w:r>
    </w:p>
    <w:p>
      <w:pPr>
        <w:spacing w:after="120" w:before="0" w:line="276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periods.js controla dos selectores. open/close/toggle administran clases, aria-expanded y clic exterior. Al elegir una opción, dispatchFinancialPeriod() emite financialPeriodChange; charts.js escucha ese evento y recalcula etiquetas y series. El periodo del reporte emite un evento separado para que el backend reciba fechas normalizadas.</w:t>
      </w:r>
    </w:p>
    <w:p>
      <w:pPr>
        <w:shd w:fill="F3F6FC" w:color="auto" w:val="clear"/>
        <w:spacing w:after="100" w:before="40"/>
        <w:ind w:left="180" w:right="180"/>
      </w:pPr>
      <w:r>
        <w:rPr>
          <w:rFonts w:ascii="Consolas" w:cs="Consolas" w:eastAsia="Consolas" w:hAnsi="Consolas"/>
          <w:color w:val="24345A"/>
          <w:sz w:val="18"/>
          <w:szCs w:val="18"/>
        </w:rPr>
        <w:t xml:space="preserve">selector click → dispatchFinancialPeriod(period) → financialPeriodChange → applyFinancialPeriod() → chart.update()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4C7DFF"/>
          <w:sz w:val="25"/>
          <w:szCs w:val="25"/>
        </w:rPr>
        <w:t xml:space="preserve">6.4 Gráfica financiera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Pieza</w:t>
            </w:r>
          </w:p>
        </w:tc>
        <w:tc>
          <w:tcPr>
            <w:tcW w:type="dxa" w:w="626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Explicación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createFinancialGradients()</w:t>
            </w:r>
          </w:p>
        </w:tc>
        <w:tc>
          <w:tcPr>
            <w:tcW w:type="dxa" w:w="62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Crea rellenos sobre el contexto 2D para ingresos, costos y ganancias.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externalFinancialTooltip()</w:t>
            </w:r>
          </w:p>
        </w:tc>
        <w:tc>
          <w:tcPr>
            <w:tcW w:type="dxa" w:w="62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Dibuja un tooltip HTML fuera del canvas para controlar formato MXN, posición y glow sin recortes.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updateFinancialHover()</w:t>
            </w:r>
          </w:p>
        </w:tc>
        <w:tc>
          <w:tcPr>
            <w:tcW w:type="dxa" w:w="62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Sincroniza punto activo, leyenda y tooltip conforme se mueve el cursor.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playFinancialReveal()</w:t>
            </w:r>
          </w:p>
        </w:tc>
        <w:tc>
          <w:tcPr>
            <w:tcW w:type="dxa" w:w="62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GSAP incrementa el estado de revelado y Chart.js redibuja las líneas progresivamente.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updateFinancialChart()</w:t>
            </w:r>
          </w:p>
        </w:tc>
        <w:tc>
          <w:tcPr>
            <w:tcW w:type="dxa" w:w="62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Sustituye labels y datasets con datos del backend y conserva opciones visuales.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4C7DFF"/>
          <w:sz w:val="25"/>
          <w:szCs w:val="25"/>
        </w:rPr>
        <w:t xml:space="preserve">6.5 Distribución de costos</w:t>
      </w:r>
    </w:p>
    <w:p>
      <w:pPr>
        <w:spacing w:after="120" w:before="0" w:line="276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charts.js crea un doughnut con valores Nowa, API Claude y Figma. showItem() reemplaza temporalmente el total central por el segmento activo; setLegend() atenúa los demás elementos; externalCostTooltip() muestra nombre, importe y MXN dentro del círculo. updateCostChart() permite reemplazar valores y etiquetas sin recrear el canvas.</w:t>
      </w:r>
    </w:p>
    <w:p>
      <w:pPr>
        <w:shd w:fill="F3F6FC" w:color="auto" w:val="clear"/>
        <w:spacing w:after="100" w:before="40"/>
        <w:ind w:left="180" w:right="180"/>
      </w:pPr>
      <w:r>
        <w:rPr>
          <w:rFonts w:ascii="Consolas" w:cs="Consolas" w:eastAsia="Consolas" w:hAnsi="Consolas"/>
          <w:color w:val="24345A"/>
          <w:sz w:val="18"/>
          <w:szCs w:val="18"/>
        </w:rPr>
        <w:t xml:space="preserve">hover segmento/leyenda → showItem(index) + setLegend(index) → tooltip interno → mouseleave → showTotal()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4C7DFF"/>
          <w:sz w:val="25"/>
          <w:szCs w:val="25"/>
        </w:rPr>
        <w:t xml:space="preserve">6.6 Notificaciones</w:t>
      </w:r>
    </w:p>
    <w:p>
      <w:pPr>
        <w:spacing w:after="120" w:before="0" w:line="276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notifications.js mantiene el panel, agrupación por fecha y contador. openNotificationPanel() prepara visibilidad, foco y animación; closeNotificationPanel() restaura el disparador. Las acciones optimistas actualizan primero el DOM y, cuando existe endpoint, realizan Fetch. Los errores deben restaurar o informar el estado.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606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renderNotificationGroups()</w:t>
            </w:r>
          </w:p>
        </w:tc>
        <w:tc>
          <w:tcPr>
            <w:tcW w:type="dxa" w:w="60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Agrupa elementos por Hoy, Ayer o fecha y vuelve a construir encabezados.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updateNotificationCount()</w:t>
            </w:r>
          </w:p>
        </w:tc>
        <w:tc>
          <w:tcPr>
            <w:tcW w:type="dxa" w:w="60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Cuenta elementos no leídos y sincroniza badge/aria-label.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markNotificationAsRead()</w:t>
            </w:r>
          </w:p>
        </w:tc>
        <w:tc>
          <w:tcPr>
            <w:tcW w:type="dxa" w:w="60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Cambia estado visual y solicita persistencia cuando hay endpoint.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deleteSingleNotification()</w:t>
            </w:r>
          </w:p>
        </w:tc>
        <w:tc>
          <w:tcPr>
            <w:tcW w:type="dxa" w:w="60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Elimina una notificación y renderiza estado vacío si corresponde.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4C7DFF"/>
          <w:sz w:val="25"/>
          <w:szCs w:val="25"/>
        </w:rPr>
        <w:t xml:space="preserve">6.7 Gastos e inversiones</w:t>
      </w:r>
    </w:p>
    <w:p>
      <w:pPr>
        <w:spacing w:after="120" w:before="0" w:line="276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expenses.js alterna el resumen de gastos recurrentes y recalcula su interfaz desde el estado actual. investments.js controla modal, lista, tema por tipo de fondo y actualización dinámica mediante window.setInvestmentFunds(). Ambos módulos enlazan eventos una sola vez y mantienen la lógica separada del HTML.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4C7DFF"/>
          <w:sz w:val="25"/>
          <w:szCs w:val="25"/>
        </w:rPr>
        <w:t xml:space="preserve">6.8 Presentación inicial</w:t>
      </w:r>
    </w:p>
    <w:p>
      <w:pPr>
        <w:spacing w:after="120" w:before="0" w:line="276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intro.js coordina video por breakpoint, fallback y una timeline GSAP. Al llegar a los puntos adecuados emite technova:start-counters, technova:financial-chart-reveal y technova:cost-chart-reveal. Los módulos receptores animan su propio contenido, evitando dependencias directas entre implementaciones.</w:t>
      </w:r>
    </w:p>
    <w:p>
      <w:pPr>
        <w:shd w:fill="F3F6FC" w:color="auto" w:val="clear"/>
        <w:spacing w:after="100" w:before="40"/>
        <w:ind w:left="180" w:right="180"/>
      </w:pPr>
      <w:r>
        <w:rPr>
          <w:rFonts w:ascii="Consolas" w:cs="Consolas" w:eastAsia="Consolas" w:hAnsi="Consolas"/>
          <w:color w:val="24345A"/>
          <w:sz w:val="18"/>
          <w:szCs w:val="18"/>
        </w:rPr>
        <w:t xml:space="preserve">intro.js emite eventos → dashboard-ui.js/charts.js reaccionan → cada módulo conserva su responsabilidad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4C7DFF"/>
          <w:sz w:val="25"/>
          <w:szCs w:val="25"/>
        </w:rPr>
        <w:t xml:space="preserve">6.9 Flujo completo con backend</w:t>
      </w:r>
    </w:p>
    <w:p>
      <w:pPr>
        <w:shd w:fill="F3F6FC" w:color="auto" w:val="clear"/>
        <w:spacing w:after="100" w:before="40"/>
        <w:ind w:left="180" w:right="180"/>
      </w:pPr>
      <w:r>
        <w:rPr>
          <w:rFonts w:ascii="Consolas" w:cs="Consolas" w:eastAsia="Consolas" w:hAnsi="Consolas"/>
          <w:color w:val="24345A"/>
          <w:sz w:val="18"/>
          <w:szCs w:val="18"/>
        </w:rPr>
        <w:t xml:space="preserve">PHP JSON → dashboard-data.js → validación → TechNovaDashboard.updateDashboardKpis() → atributos data-* → contadores y formato visual</w:t>
      </w:r>
    </w:p>
    <w:p>
      <w:pPr>
        <w:spacing w:after="120" w:before="0" w:line="276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Las gráficas siguen el mismo patrón: el servidor entrega números y etiquetas; JavaScript valida, transforma y llama la función pública de actualización; Chart.js conserva estilos, tooltips y animaciones.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B1230"/>
          <w:sz w:val="30"/>
          <w:szCs w:val="30"/>
        </w:rPr>
        <w:t xml:space="preserve">7. Contrato del backend</w:t>
      </w:r>
    </w:p>
    <w:p>
      <w:pPr>
        <w:spacing w:after="120" w:before="0" w:line="276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data-dashboard-api vacío evita solicitudes. Ruta prevista: ../api/dashboard/summary.php. El servidor debe responder JSON, validar sesión y permisos y no generar HTML.</w:t>
      </w:r>
    </w:p>
    <w:p>
      <w:pPr>
        <w:shd w:fill="F3F6FC" w:color="auto" w:val="clear"/>
        <w:spacing w:after="100" w:before="40"/>
        <w:ind w:left="180" w:right="180"/>
      </w:pPr>
      <w:r>
        <w:rPr>
          <w:rFonts w:ascii="Consolas" w:cs="Consolas" w:eastAsia="Consolas" w:hAnsi="Consolas"/>
          <w:color w:val="24345A"/>
          <w:sz w:val="18"/>
          <w:szCs w:val="18"/>
        </w:rPr>
        <w:t xml:space="preserve">{ "kpis": { "projectsActive": 6, "totalRevenue": 126904, "profits": 71400, "hoursWorked": 1345, "activeClients": 2 }, "changes": {}, "periodLabel": "este mes" }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Enviar importes como números; el frontend aplica formato es-MX y MXN.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Usar consultas preparadas y autorización por usuario/rol.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Aplicar CSRF a futuras operaciones mutables.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B1230"/>
          <w:sz w:val="30"/>
          <w:szCs w:val="30"/>
        </w:rPr>
        <w:t xml:space="preserve">8. Responsive, animación y accesibilidad</w:t>
      </w:r>
    </w:p>
    <w:p>
      <w:pPr>
        <w:spacing w:after="120" w:before="0" w:line="276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Los cortes principales son 1280, 1024, 640 y 390 px. El navbar cambia a modo móvil. GSAP respeta prefers-reduced-motion. El atributo active del componente genera aria-current para Dashboard; botones y paneles mantienen etiquetas y estados aria.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B1230"/>
          <w:sz w:val="30"/>
          <w:szCs w:val="30"/>
        </w:rPr>
        <w:t xml:space="preserve">9. Mantenimiento y pruebas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Probar desktop, tablet y móvil después de cambios de layout.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Validar teclado, foco, Escape y notificaciones.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Ejecutar node --check en JavaScript modificado.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Comprobar que endpoints vacíos no realizan Fetch.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Verificar tooltips, formatos MXN y actualización dinámica.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Realizar cambios localizados; no sobrescribir módulos completos.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B1230"/>
          <w:sz w:val="30"/>
          <w:szCs w:val="30"/>
        </w:rPr>
        <w:t xml:space="preserve">10. Riesgos y evolución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charts.js concentra varias responsabilidades y debe dividirse gradualmente por gráfica.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Los selectores heredados de Figma requieren migración coordinada si se renombran.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Los datos demo deben distinguirse de respuestas reales.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B1230"/>
          <w:sz w:val="30"/>
          <w:szCs w:val="30"/>
        </w:rPr>
        <w:t xml:space="preserve">11. Convenciones de comentarios en código</w:t>
      </w:r>
    </w:p>
    <w:p>
      <w:pPr>
        <w:spacing w:after="120" w:before="0" w:line="276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Los comentarios inline funcionan como guía de mantenimiento y no sustituyen nombres claros, validaciones ni documentación técnica. Deben explicar intención, flujo, dependencias y restricciones que no son evidentes al leer una instrucción aislada.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Ubicación</w:t>
            </w:r>
          </w:p>
        </w:tc>
        <w:tc>
          <w:tcPr>
            <w:tcW w:type="dxa" w:w="666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Contenido esperado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Cabecera JavaScript</w:t>
            </w:r>
          </w:p>
        </w:tc>
        <w:tc>
          <w:tcPr>
            <w:tcW w:type="dxa" w:w="66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Responsabilidad, entradas, salidas, eventos, API pública y dependencia con backend/GSAP/Chart.js.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Funciones críticas</w:t>
            </w:r>
          </w:p>
        </w:tc>
        <w:tc>
          <w:tcPr>
            <w:tcW w:type="dxa" w:w="66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Motivo de la transformación, efectos sobre DOM/estado y condiciones de fallback.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Cabecera CSS</w:t>
            </w:r>
          </w:p>
        </w:tc>
        <w:tc>
          <w:tcPr>
            <w:tcW w:type="dxa" w:w="66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Componente consumidor, relación con JavaScript, cascada y breakpoints sensibles.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HTML</w:t>
            </w:r>
          </w:p>
        </w:tc>
        <w:tc>
          <w:tcPr>
            <w:tcW w:type="dxa" w:w="66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Mapa de secciones, atributos data-* y orden obligatorio de dependencias.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No permitido</w:t>
            </w:r>
          </w:p>
        </w:tc>
        <w:tc>
          <w:tcPr>
            <w:tcW w:type="dxa" w:w="66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Comentarios que repitan literalmente una propiedad, código obsoleto comentado o instrucciones que ya no coincidan con el comportamiento.</w:t>
            </w:r>
          </w:p>
        </w:tc>
      </w:tr>
    </w:tbl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Actualizar el comentario cuando cambie el contrato o flujo que describe.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No comentar librerías de assets/vendor ni archivos generados de terceros.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Conservar comentarios breves cerca de la decisión que explican; el detalle completo permanece en este Word.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Ejecutar validación de sintaxis después de comentar JavaScript y balance de estructura en CSS/HTML.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B1230"/>
          <w:sz w:val="30"/>
          <w:szCs w:val="30"/>
        </w:rPr>
        <w:t xml:space="preserve">12. Actualización documental</w:t>
      </w:r>
    </w:p>
    <w:p>
      <w:pPr>
        <w:spacing w:after="120" w:before="0" w:line="276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Ante cada modificación: registrar componente y archivos, ejecutar pruebas, incrementar versión cuando corresponda, añadir historial, regenerar este Word y revisar visualmente el resultado.</w:t>
      </w:r>
    </w:p>
    <w:sectPr>
      <w:headerReference w:type="default" r:id="rId7"/>
      <w:footerReference w:type="default" r:id="rId8"/>
      <w:pgSz w:w="11906" w:h="16838" w:orient="portrait"/>
      <w:pgMar w:top="850" w:right="900" w:bottom="85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D6988"/>
        <w:sz w:val="16"/>
        <w:szCs w:val="16"/>
      </w:rPr>
      <w:t xml:space="preserve">Uso interno · </w:t>
    </w:r>
    <w:r>
      <w:rPr>
        <w:color w:val="5D69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D6988"/>
        <w:sz w:val="16"/>
        <w:szCs w:val="16"/>
      </w:rPr>
      <w:t xml:space="preserve"> / </w:t>
    </w:r>
    <w:r>
      <w:rPr>
        <w:color w:val="5D69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76"/>
      <w:jc w:val="right"/>
    </w:pPr>
    <w:r>
      <w:rPr>
        <w:rFonts w:ascii="Arial" w:cs="Arial" w:eastAsia="Arial" w:hAnsi="Arial"/>
        <w:color w:val="5D6988"/>
        <w:sz w:val="16"/>
        <w:szCs w:val="16"/>
      </w:rPr>
      <w:t xml:space="preserve">TechNova Solutions  |  Documentación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7213C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0B123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4C7DF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C7DF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técnica - Dashboard</dc:title>
  <dc:subject>Documentación técnica de vista</dc:subject>
  <dc:creator>TechNova Solutions</dc:creator>
  <dc:description>Documento vivo para mantenimiento y evolución del sistema.</dc:description>
  <cp:lastModifiedBy>Un-named</cp:lastModifiedBy>
  <cp:revision>1</cp:revision>
  <dcterms:created xsi:type="dcterms:W3CDTF">2026-08-31T03:37:54.545Z</dcterms:created>
  <dcterms:modified xsi:type="dcterms:W3CDTF">2026-08-31T03:37:54.553Z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