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 w:before="700" w:line="276"/>
        <w:jc w:val="center"/>
      </w:pPr>
      <w:r>
        <w:rPr>
          <w:rFonts w:ascii="Arial" w:cs="Arial" w:eastAsia="Arial" w:hAnsi="Arial"/>
          <w:b/>
          <w:bCs/>
          <w:color w:val="4C7DFF"/>
          <w:sz w:val="22"/>
          <w:szCs w:val="22"/>
        </w:rPr>
        <w:t xml:space="preserve">TECHNOVA SOLUTIONS</w:t>
      </w:r>
    </w:p>
    <w:p>
      <w:pPr>
        <w:spacing w:after="140" w:before="0" w:line="276"/>
        <w:jc w:val="center"/>
      </w:pPr>
      <w:r>
        <w:rPr>
          <w:rFonts w:ascii="Arial" w:cs="Arial" w:eastAsia="Arial" w:hAnsi="Arial"/>
          <w:b/>
          <w:bCs/>
          <w:color w:val="0B1230"/>
          <w:sz w:val="42"/>
          <w:szCs w:val="42"/>
        </w:rPr>
        <w:t xml:space="preserve">DOCUMENTACIÓN TÉCNICA</w:t>
      </w:r>
    </w:p>
    <w:p>
      <w:pPr>
        <w:spacing w:after="320" w:before="0" w:line="276"/>
        <w:jc w:val="center"/>
      </w:pPr>
      <w:r>
        <w:rPr>
          <w:rFonts w:ascii="Arial" w:cs="Arial" w:eastAsia="Arial" w:hAnsi="Arial"/>
          <w:b/>
          <w:bCs/>
          <w:color w:val="4C7DFF"/>
          <w:sz w:val="48"/>
          <w:szCs w:val="48"/>
        </w:rPr>
        <w:t xml:space="preserve">TABLERO DE TAREAS</w:t>
      </w:r>
    </w:p>
    <w:p>
      <w:pPr>
        <w:spacing w:after="850" w:before="0" w:line="276"/>
        <w:jc w:val="center"/>
      </w:pPr>
      <w:r>
        <w:rPr>
          <w:rFonts w:ascii="Arial" w:cs="Arial" w:eastAsia="Arial" w:hAnsi="Arial"/>
          <w:color w:val="5D6988"/>
          <w:sz w:val="24"/>
          <w:szCs w:val="24"/>
        </w:rPr>
        <w:t xml:space="preserve">Vista Kanban, interacción y preparación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AF0FF" w:color="auto" w:val="clear"/>
            <w:tcMar>
              <w:top w:type="dxa" w:w="150"/>
              <w:left w:type="dxa" w:w="180"/>
              <w:bottom w:type="dxa" w:w="150"/>
              <w:right w:type="dxa" w:w="180"/>
            </w:tcMar>
          </w:tcPr>
          <w:p>
            <w:pPr>
              <w:spacing w:after="60" w:before="0" w:line="276"/>
            </w:pPr>
            <w:r>
              <w:rPr>
                <w:rFonts w:ascii="Arial" w:cs="Arial" w:eastAsia="Arial" w:hAnsi="Arial"/>
                <w:b/>
                <w:bCs/>
                <w:color w:val="4C7DFF"/>
                <w:sz w:val="20"/>
                <w:szCs w:val="20"/>
              </w:rPr>
              <w:t xml:space="preserve">Estado del documento</w:t>
            </w:r>
          </w:p>
          <w:p>
            <w:pPr>
              <w:spacing w:after="0" w:before="0" w:line="276"/>
            </w:pPr>
            <w:r>
              <w:rPr>
                <w:rFonts w:ascii="Arial" w:cs="Arial" w:eastAsia="Arial" w:hAnsi="Arial"/>
                <w:color w:val="17213C"/>
                <w:sz w:val="20"/>
                <w:szCs w:val="20"/>
              </w:rPr>
              <w:t xml:space="preserve">Versión 1.0.0 · 30 de agosto de 2026 · Documento vivo de mantenimiento</w:t>
            </w:r>
          </w:p>
        </w:tc>
      </w:tr>
    </w:tbl>
    <w:p>
      <w:pPr>
        <w:spacing w:after="120" w:before="650" w:line="276"/>
        <w:jc w:val="center"/>
      </w:pPr>
      <w:r>
        <w:rPr>
          <w:rFonts w:ascii="Arial" w:cs="Arial" w:eastAsia="Arial" w:hAnsi="Arial"/>
          <w:color w:val="5D6988"/>
          <w:sz w:val="18"/>
          <w:szCs w:val="18"/>
        </w:rPr>
        <w:t xml:space="preserve">C:\xampp\htdocs\xampp\TechNova Sistema\App</w:t>
      </w:r>
    </w:p>
    <w:p>
      <w:pPr>
        <w:spacing w:after="120" w:before="280" w:line="276"/>
        <w:jc w:val="center"/>
      </w:pPr>
      <w:r>
        <w:rPr>
          <w:rFonts w:ascii="Arial" w:cs="Arial" w:eastAsia="Arial" w:hAnsi="Arial"/>
          <w:i/>
          <w:iCs/>
          <w:color w:val="5D6988"/>
          <w:sz w:val="20"/>
          <w:szCs w:val="20"/>
        </w:rPr>
        <w:t xml:space="preserve">Frontend implementado · Backend preparado para integración posterior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Control documental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180"/>
        <w:gridCol w:w="1000"/>
        <w:gridCol w:w="2360"/>
        <w:gridCol w:w="2380"/>
        <w:gridCol w:w="1680"/>
      </w:tblGrid>
      <w:tr>
        <w:trPr>
          <w:tblHeader/>
        </w:trPr>
        <w:tc>
          <w:tcPr>
            <w:tcW w:type="dxa" w:w="7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18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10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</w:t>
            </w:r>
          </w:p>
        </w:tc>
        <w:tc>
          <w:tcPr>
            <w:tcW w:type="dxa" w:w="23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Archivos</w:t>
            </w:r>
          </w:p>
        </w:tc>
        <w:tc>
          <w:tcPr>
            <w:tcW w:type="dxa" w:w="238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Cambio</w:t>
            </w:r>
          </w:p>
        </w:tc>
        <w:tc>
          <w:tcPr>
            <w:tcW w:type="dxa" w:w="168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Motivo</w:t>
            </w:r>
          </w:p>
        </w:tc>
      </w:tr>
      <w:tr>
        <w:tc>
          <w:tcPr>
            <w:tcW w:type="dxa" w:w="7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1.0.0</w:t>
            </w:r>
          </w:p>
        </w:tc>
        <w:tc>
          <w:tcPr>
            <w:tcW w:type="dxa" w:w="11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30 de agosto de 2026</w:t>
            </w:r>
          </w:p>
        </w:tc>
        <w:tc>
          <w:tcPr>
            <w:tcW w:type="dxa" w:w="10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Tablero de tareas</w:t>
            </w:r>
          </w:p>
        </w:tc>
        <w:tc>
          <w:tcPr>
            <w:tcW w:type="dxa" w:w="2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tareas-tablero.html; tareas-tablero.css; tasks-board.js; tasks-api.js; tasks-entry.js</w:t>
            </w:r>
          </w:p>
        </w:tc>
        <w:tc>
          <w:tcPr>
            <w:tcW w:type="dxa" w:w="23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Vista Kanban con cuatro estados, detalle, alta y drag and drop</w:t>
            </w:r>
          </w:p>
        </w:tc>
        <w:tc>
          <w:tcPr>
            <w:tcW w:type="dxa" w:w="168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Extender Tareas con una experiencia visual tipo Asana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Tabla de contenido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1. Propósito y alcance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Documenta la vista tareas-tablero.html, complemento del listado principal. Presenta las tareas en columnas Pendientes, En progreso, En revisión y Completadas, comparte el navbar, notificaciones, cliente API, editor, detalle y animación de entrada.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2. Inventario de archivos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Ruta</w:t>
            </w:r>
          </w:p>
        </w:tc>
        <w:tc>
          <w:tcPr>
            <w:tcW w:type="dxa" w:w="58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tareas-tablero.html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Estructura Kanban, filtros, columnas, detalle, editor y atributos de backend.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css/pages/tareas-tablero.css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Layout de columnas, degradados por estado, respiración, tarjetas, drag and drop y responsive.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js/pages/tasks-board.js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Render, filtros, apertura de detalle, editor, creación y movimiento entre estados.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js/pages/tasks-api.js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Cliente compartido para lista, creación, actualización y acciones.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js/pages/tasks-entry.js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Timeline premium compartida con la vista Lista.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js/components/technova-navbar.js + js/navbar.js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Navbar único con Tareas activo y menú responsive.</w:t>
            </w:r>
          </w:p>
        </w:tc>
      </w:tr>
      <w:tr>
        <w:tc>
          <w:tcPr>
            <w:tcW w:type="dxa" w:w="35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css/pages/tareas.css + estilos compartidos</w:t>
            </w:r>
          </w:p>
        </w:tc>
        <w:tc>
          <w:tcPr>
            <w:tcW w:type="dxa" w:w="58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Tokens visuales, encabezado, notificaciones, drawer y formularios reutilizados.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3. Estructura HTML y visual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100"/>
        <w:gridCol w:w="4360"/>
      </w:tblGrid>
      <w:tr>
        <w:trPr>
          <w:tblHeader/>
        </w:trPr>
        <w:tc>
          <w:tcPr>
            <w:tcW w:type="dxa" w:w="19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1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Selector</w:t>
            </w:r>
          </w:p>
        </w:tc>
        <w:tc>
          <w:tcPr>
            <w:tcW w:type="dxa" w:w="43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Encabezado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.tasks-board-header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Título, búsqueda, Lista, notificaciones y Nueva tarea.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Resumen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[data-board-summary]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Contadores totales por estado.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Tablero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[data-tasks-board]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Contenedor de las cuatro columnas.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Columnas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[data-board-status]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Dropzones con color/glow según estado.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Tarjetas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.kanban-card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Proyecto, responsable, prioridad, progreso y vencimiento.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Detalle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[data-board-detail]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Drawer sincronizado con la tarjeta seleccionada.</w:t>
            </w:r>
          </w:p>
        </w:tc>
      </w:tr>
      <w:tr>
        <w:tc>
          <w:tcPr>
            <w:tcW w:type="dxa" w:w="19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Editor</w:t>
            </w:r>
          </w:p>
        </w:tc>
        <w:tc>
          <w:tcPr>
            <w:tcW w:type="dxa" w:w="31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[data-board-editor]</w:t>
            </w:r>
          </w:p>
        </w:tc>
        <w:tc>
          <w:tcPr>
            <w:tcW w:type="dxa" w:w="43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Alta sin abandonar la vista.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4. JavaScript, eventos y flujo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0"/>
        <w:gridCol w:w="5710"/>
      </w:tblGrid>
      <w:tr>
        <w:trPr>
          <w:tblHeader/>
        </w:trPr>
        <w:tc>
          <w:tcPr>
            <w:tcW w:type="dxa" w:w="365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 o evento</w:t>
            </w:r>
          </w:p>
        </w:tc>
        <w:tc>
          <w:tcPr>
            <w:tcW w:type="dxa" w:w="571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renderBoard()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Filtra y distribuye el arreglo de tareas en cuatro columnas; actualiza conteos.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createCard(task)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Genera una tarjeta accesible y arrastrable desde el modelo normalizado.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openDetail(task)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Sincroniza drawer, progreso, subtareas y acción completar.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openEditor(status)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Abre Nueva tarea con el estado de la columna de origen.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moveTask(taskId, status)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Actualiza estado, vuelve a renderizar y emite tasks:board-move.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tasks:board-create-request / tasks:board-create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Notifican apertura y alta con origen API o fallback.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dragstart/dragover/drop/dragend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Controlan movimiento visual entre dropzones.</w:t>
            </w:r>
          </w:p>
        </w:tc>
      </w:tr>
      <w:tr>
        <w:tc>
          <w:tcPr>
            <w:tcW w:type="dxa" w:w="365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input/change/keydown</w:t>
            </w:r>
          </w:p>
        </w:tc>
        <w:tc>
          <w:tcPr>
            <w:tcW w:type="dxa" w:w="571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Búsqueda, prioridad, acceso por teclado y cierre Escape.</w:t>
            </w:r>
          </w:p>
        </w:tc>
      </w:tr>
    </w:tbl>
    <w:p>
      <w:pPr>
        <w:shd w:fill="F3F6FC" w:color="auto" w:val="clear"/>
        <w:spacing w:after="100" w:before="40"/>
        <w:ind w:left="180" w:right="180"/>
      </w:pPr>
      <w:r>
        <w:rPr>
          <w:rFonts w:ascii="Consolas" w:cs="Consolas" w:eastAsia="Consolas" w:hAnsi="Consolas"/>
          <w:color w:val="24345A"/>
          <w:sz w:val="18"/>
          <w:szCs w:val="18"/>
        </w:rPr>
        <w:t xml:space="preserve">HTML → technova-navbar.js → navbar.js → notifications.js → tasks-api.js → tasks-board.js → tasks-entry.js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5. Backend y contratos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La raíz expone data-tasks-board-api, data-tasks-action-api y data-tasks-csrf. Con URLs vacías se utiliza el arreglo local. El endpoint de tablero podrá devolver { items: Task[] }; creación y movimiento reutilizan los contratos de tasks-api.js. El servidor debe validar transiciones de estado, permisos y concurrencia antes de confirmar.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6. Responsive y animaciones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Escritorio: cuatro columnas con scroll horizontal controlado cuando el ancho no permite legibilidad.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Tablet: columnas conservan ancho mínimo y navegación táctil; encabezado redistribuye acciones.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Móvil: tarjetas y drawers ocupan el ancho disponible; los formularios se apilan.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Cada columna mantiene su color semántico y respiración de degradado; las tarjetas conservan Liquid Glass.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GSAP presenta navbar, encabezado, resumen y columnas; reduced-motion entrega el estado final sin animación.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7. Pruebas y mantenimiento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Creación local abre el modal sin redirigir a la vista Lista.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Búsqueda y prioridad vuelven a renderizar conteos y columnas.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Drag and drop mueve la tarea y actualiza su estado en fallback.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Detalle, completar, Escape y enlaces Lista/Tareas conservan navegación y accesibilidad.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JavaScript válido, CSS balanceado y orden de dependencias comprobado.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duplicar lógica de API, navbar, drawer ni estilos compartidos entre Lista y Kanban.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8. Convenciones de comentarios en código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Los comentarios inline funcionan como guía de mantenimiento y no sustituyen nombres claros, validaciones ni documentación técnica. Deben explicar intención, flujo, dependencias y restricciones que no son evidentes al leer una instrucción aislada.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Ubicación</w:t>
            </w:r>
          </w:p>
        </w:tc>
        <w:tc>
          <w:tcPr>
            <w:tcW w:type="dxa" w:w="6660"/>
            <w:shd w:fill="0B1230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esperado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JavaScript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Responsabilidad, entradas, salidas, eventos, API pública y dependencia con backend/GSAP/Chart.js.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Funciones críticas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Motivo de la transformación, efectos sobre DOM/estado y condiciones de fallback.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Cabecera CSS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Componente consumidor, relación con JavaScript, cascada y breakpoints sensibles.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HTML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Mapa de secciones, atributos data-* y orden obligatorio de dependencias.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No permitido</w:t>
            </w:r>
          </w:p>
        </w:tc>
        <w:tc>
          <w:tcPr>
            <w:tcW w:type="dxa" w:w="6660"/>
            <w:shd w:fill="FFFFFF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7213C"/>
                <w:sz w:val="18"/>
                <w:szCs w:val="18"/>
              </w:rPr>
              <w:t xml:space="preserve">Comentarios que repitan literalmente una propiedad, código obsoleto comentado o instrucciones que ya no coincidan con el comportamiento.</w:t>
            </w:r>
          </w:p>
        </w:tc>
      </w:tr>
    </w:tbl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Actualizar el comentario cuando cambie el contrato o flujo que describe.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No comentar librerías de assets/vendor ni archivos generados de terceros.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Conservar comentarios breves cerca de la decisión que explican; el detalle completo permanece en este Word.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Ejecutar validación de sintaxis después de comentar JavaScript y balance de estructura en CSS/HTML.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0B1230"/>
          <w:sz w:val="30"/>
          <w:szCs w:val="30"/>
        </w:rPr>
        <w:t xml:space="preserve">9. Riesgos y evolución</w:t>
      </w:r>
    </w:p>
    <w:p>
      <w:pPr>
        <w:spacing w:after="120" w:before="0" w:line="276"/>
      </w:pPr>
      <w:r>
        <w:rPr>
          <w:rFonts w:ascii="Arial" w:cs="Arial" w:eastAsia="Arial" w:hAnsi="Arial"/>
          <w:color w:val="17213C"/>
          <w:sz w:val="20"/>
          <w:szCs w:val="20"/>
        </w:rPr>
        <w:t xml:space="preserve">El drag and drop HTML5 requiere una alternativa táctil más explícita para producción. La persistencia real debe resolver conflictos 409, autorización por proyecto, auditoría y reversión visual cuando una transición falle.</w:t>
      </w:r>
    </w:p>
    <w:sectPr>
      <w:headerReference w:type="default" r:id="rId7"/>
      <w:footerReference w:type="default" r:id="rId8"/>
      <w:pgSz w:w="11906" w:h="16838" w:orient="portrait"/>
      <w:pgMar w:top="850" w:right="900" w:bottom="85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D6988"/>
        <w:sz w:val="16"/>
        <w:szCs w:val="16"/>
      </w:rPr>
      <w:t xml:space="preserve">Uso interno · </w:t>
    </w:r>
    <w:r>
      <w:rPr>
        <w:color w:val="5D69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D6988"/>
        <w:sz w:val="16"/>
        <w:szCs w:val="16"/>
      </w:rPr>
      <w:t xml:space="preserve"> / </w:t>
    </w:r>
    <w:r>
      <w:rPr>
        <w:color w:val="5D69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Arial" w:cs="Arial" w:eastAsia="Arial" w:hAnsi="Arial"/>
        <w:color w:val="5D6988"/>
        <w:sz w:val="16"/>
        <w:szCs w:val="16"/>
      </w:rPr>
      <w:t xml:space="preserve">TechNova Solutions  |  Documentación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7213C"/>
        <w:sz w:val="20"/>
        <w:szCs w:val="20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0B1230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4C7DFF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C7D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- Tablero de tareas</dc:title>
  <dc:subject>Documentación técnica de vista</dc:subject>
  <dc:creator>TechNova Solutions</dc:creator>
  <dc:description>Documento vivo para mantenimiento y evolución del sistema.</dc:description>
  <cp:lastModifiedBy>Un-named</cp:lastModifiedBy>
  <cp:revision>1</cp:revision>
  <dcterms:created xsi:type="dcterms:W3CDTF">2026-08-31T03:37:54.561Z</dcterms:created>
  <dcterms:modified xsi:type="dcterms:W3CDTF">2026-08-31T03:37:54.561Z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