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FABRICANTE DE BATERIAS FLUENCE CAI 49% APÓS REDUZIR ORIENTAÇÕES DE VENDAS (11 DE FEVEREIRO DE 2025)</w:t>
      </w:r>
    </w:p>
    <w:p>
      <w:r>
        <w:t>A Fluence Energy, fabricante de baterias, sofreu queda de quase 50% após reduzir as orientações de vendas devido a atrasos contratuais na Austrália. Esta é a pior performance diária desde a estreia da Fluence como empresa de capital aberto em 2021, com a ação caindo 46% para $7.045 às 10h30 em Nova York. O CEO Julian Nebreda atribuiu a redução à combinação de atrasos em contratos e pressões competitivas. A situação da Fluence surge em meio a preocupações crescentes sobre a política de baterias dos EUA sob o presidente Donald Trump, que está focado no impulso aos combustíveis fósseis. A política atual fornece subsídios para projetos de bateria e outras fontes de energia alternativa. A redução da orientação da Fluence levanta dúvidas sobre a capacidade da empresa de atingir suas metas.</w:t>
        <w:br/>
        <w:t>(Fonte: BNEF)</w:t>
        <w:br/>
        <w:t>▪️ Tipo: Notícia; ▪️ Região: América do Norte; ▪️ Palavras-Chave: Bateria, Política de Energia, Fluence Energy; ▪️ Portfólio de Interesse: Geral.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